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6816EC" w:rsidTr="006816EC">
        <w:trPr>
          <w:trHeight w:val="295"/>
          <w:jc w:val="center"/>
        </w:trPr>
        <w:tc>
          <w:tcPr>
            <w:tcW w:w="5049" w:type="dxa"/>
            <w:gridSpan w:val="3"/>
          </w:tcPr>
          <w:p w:rsidR="006816EC" w:rsidRPr="00D855A1" w:rsidRDefault="006816EC">
            <w:pPr>
              <w:rPr>
                <w:rFonts w:ascii="Arial (W1)" w:hAnsi="Arial (W1)"/>
                <w:b/>
                <w:bCs/>
                <w:noProof w:val="0"/>
                <w:sz w:val="26"/>
                <w:szCs w:val="26"/>
              </w:rPr>
            </w:pPr>
            <w:bookmarkStart w:id="0" w:name="_GoBack"/>
            <w:bookmarkEnd w:id="0"/>
          </w:p>
        </w:tc>
        <w:tc>
          <w:tcPr>
            <w:tcW w:w="3771" w:type="dxa"/>
            <w:hideMark/>
          </w:tcPr>
          <w:p w:rsidR="006816EC" w:rsidRDefault="006816EC">
            <w:pPr>
              <w:rPr>
                <w:rFonts w:ascii="Arial (W1)" w:hAnsi="Arial (W1)"/>
                <w:szCs w:val="28"/>
              </w:rPr>
            </w:pPr>
            <w:r>
              <w:rPr>
                <w:rFonts w:hint="cs"/>
                <w:b/>
                <w:bCs/>
                <w:noProof w:val="0"/>
                <w:sz w:val="28"/>
                <w:rtl/>
              </w:rPr>
              <w:t>מספר בקשה:</w:t>
            </w:r>
            <w:sdt>
              <w:sdtPr>
                <w:rPr>
                  <w:rFonts w:hint="cs"/>
                  <w:rtl/>
                </w:rPr>
                <w:alias w:val="1193"/>
                <w:tag w:val="1193"/>
                <w:id w:val="-1269692480"/>
                <w:text w:multiLine="1"/>
              </w:sdtPr>
              <w:sdtEndPr/>
              <w:sdtContent>
                <w:r>
                  <w:rPr>
                    <w:rFonts w:hint="cs"/>
                    <w:b/>
                    <w:bCs/>
                    <w:noProof w:val="0"/>
                    <w:sz w:val="28"/>
                    <w:rtl/>
                  </w:rPr>
                  <w:t>7</w:t>
                </w:r>
              </w:sdtContent>
            </w:sdt>
          </w:p>
        </w:tc>
      </w:tr>
      <w:tr w:rsidR="006816EC" w:rsidTr="006816EC">
        <w:trPr>
          <w:jc w:val="center"/>
        </w:trPr>
        <w:tc>
          <w:tcPr>
            <w:tcW w:w="743" w:type="dxa"/>
            <w:hideMark/>
          </w:tcPr>
          <w:p w:rsidR="006816EC" w:rsidRPr="00D855A1" w:rsidRDefault="00D855A1">
            <w:pPr>
              <w:jc w:val="both"/>
              <w:rPr>
                <w:rFonts w:ascii="Arial (W1)" w:hAnsi="Arial (W1)"/>
                <w:b/>
                <w:bCs/>
                <w:sz w:val="26"/>
                <w:szCs w:val="26"/>
              </w:rPr>
            </w:pPr>
            <w:r w:rsidRPr="00D855A1">
              <w:rPr>
                <w:rFonts w:ascii="Arial (W1)" w:hAnsi="Arial (W1)" w:hint="cs"/>
                <w:b/>
                <w:bCs/>
                <w:sz w:val="26"/>
                <w:szCs w:val="26"/>
                <w:rtl/>
              </w:rPr>
              <w:t>לפני</w:t>
            </w:r>
          </w:p>
        </w:tc>
        <w:tc>
          <w:tcPr>
            <w:tcW w:w="8077" w:type="dxa"/>
            <w:gridSpan w:val="3"/>
            <w:hideMark/>
          </w:tcPr>
          <w:p w:rsidR="006816EC" w:rsidRPr="0076736C" w:rsidRDefault="0076736C" w:rsidP="0076736C">
            <w:r>
              <w:rPr>
                <w:rFonts w:ascii="David" w:eastAsia="Calibri" w:hAnsi="David"/>
                <w:b/>
                <w:bCs/>
                <w:noProof w:val="0"/>
                <w:sz w:val="26"/>
                <w:szCs w:val="26"/>
                <w:rtl/>
              </w:rPr>
              <w:t>כבוד השופט טל פפרני,  סגן הנשיאה</w:t>
            </w: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831618" w:rsidRDefault="004F5E89" w:rsidP="004F5E89">
                <w:pPr>
                  <w:rPr>
                    <w:rFonts w:ascii="Arial (W1)" w:hAnsi="Arial (W1)"/>
                    <w:b/>
                    <w:bCs/>
                    <w:noProof w:val="0"/>
                    <w:sz w:val="28"/>
                    <w:szCs w:val="28"/>
                  </w:rPr>
                </w:pPr>
                <w:r>
                  <w:rPr>
                    <w:b/>
                    <w:bCs/>
                    <w:noProof w:val="0"/>
                    <w:sz w:val="28"/>
                    <w:rtl/>
                  </w:rPr>
                  <w:br/>
                </w:r>
                <w:r>
                  <w:rPr>
                    <w:b/>
                    <w:bCs/>
                    <w:noProof w:val="0"/>
                    <w:sz w:val="28"/>
                    <w:rtl/>
                  </w:rPr>
                  <w:br/>
                </w:r>
                <w:r>
                  <w:rPr>
                    <w:rFonts w:hint="cs"/>
                    <w:b/>
                    <w:bCs/>
                    <w:noProof w:val="0"/>
                    <w:sz w:val="28"/>
                    <w:rtl/>
                  </w:rPr>
                  <w:t>ה</w:t>
                </w:r>
                <w:r w:rsidR="0021778D">
                  <w:rPr>
                    <w:rFonts w:hint="cs"/>
                    <w:b/>
                    <w:bCs/>
                    <w:noProof w:val="0"/>
                    <w:sz w:val="28"/>
                    <w:rtl/>
                  </w:rPr>
                  <w:t>מבקש</w:t>
                </w:r>
              </w:p>
            </w:sdtContent>
          </w:sdt>
        </w:tc>
        <w:tc>
          <w:tcPr>
            <w:tcW w:w="5571" w:type="dxa"/>
            <w:gridSpan w:val="2"/>
          </w:tcPr>
          <w:p w:rsidR="006816EC" w:rsidRDefault="006816EC">
            <w:pPr>
              <w:rPr>
                <w:rFonts w:ascii="Arial (W1)" w:hAnsi="Arial (W1)"/>
                <w:b/>
                <w:bCs/>
                <w:noProof w:val="0"/>
                <w:sz w:val="28"/>
                <w:szCs w:val="28"/>
                <w:rtl/>
              </w:rPr>
            </w:pPr>
          </w:p>
          <w:p w:rsidR="004F5E89" w:rsidRDefault="004F5E89">
            <w:pPr>
              <w:rPr>
                <w:rFonts w:ascii="Arial (W1)" w:hAnsi="Arial (W1)"/>
                <w:b/>
                <w:bCs/>
                <w:noProof w:val="0"/>
                <w:sz w:val="28"/>
                <w:szCs w:val="28"/>
                <w:rtl/>
              </w:rPr>
            </w:pPr>
          </w:p>
          <w:p w:rsidR="004F5E89" w:rsidRDefault="00AD06D3" w:rsidP="0000705A">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4F5E89">
                  <w:rPr>
                    <w:b/>
                    <w:bCs/>
                    <w:noProof w:val="0"/>
                    <w:sz w:val="28"/>
                    <w:rtl/>
                  </w:rPr>
                  <w:br/>
                </w:r>
                <w:r w:rsidR="0000705A">
                  <w:rPr>
                    <w:rFonts w:hint="cs"/>
                    <w:b/>
                    <w:bCs/>
                    <w:noProof w:val="0"/>
                    <w:sz w:val="28"/>
                    <w:rtl/>
                  </w:rPr>
                  <w:t>פלוני</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D855A1">
                  <w:rPr>
                    <w:rFonts w:hint="eastAsia"/>
                    <w:b/>
                    <w:bCs/>
                    <w:noProof w:val="0"/>
                    <w:sz w:val="28"/>
                    <w:rtl/>
                  </w:rPr>
                  <w:t>ת"ז</w:t>
                </w:r>
              </w:sdtContent>
            </w:sdt>
            <w:r w:rsidR="009C358E" w:rsidRPr="009C358E">
              <w:rPr>
                <w:rFonts w:hint="cs"/>
                <w:b/>
                <w:bCs/>
                <w:noProof w:val="0"/>
                <w:sz w:val="28"/>
                <w:rtl/>
              </w:rPr>
              <w:t xml:space="preserve"> </w:t>
            </w:r>
            <w:r w:rsidR="0000705A" w:rsidRPr="0000705A">
              <w:rPr>
                <w:rFonts w:ascii="David" w:hAnsi="David"/>
                <w:b/>
                <w:bCs/>
                <w:noProof w:val="0"/>
                <w:szCs w:val="22"/>
              </w:rPr>
              <w:t>XXXXXXXXX</w:t>
            </w:r>
          </w:p>
          <w:p w:rsidR="006816EC" w:rsidRDefault="00E44DDF">
            <w:pPr>
              <w:rPr>
                <w:rFonts w:ascii="Arial (W1)" w:hAnsi="Arial (W1)"/>
                <w:b/>
                <w:bCs/>
                <w:noProof w:val="0"/>
                <w:sz w:val="28"/>
                <w:szCs w:val="28"/>
              </w:rPr>
            </w:pPr>
            <w:r>
              <w:rPr>
                <w:rFonts w:ascii="Arial" w:hAnsi="Arial"/>
                <w:b/>
                <w:bCs/>
                <w:noProof w:val="0"/>
                <w:sz w:val="26"/>
                <w:szCs w:val="26"/>
                <w:rtl/>
              </w:rPr>
              <w:t>ע</w:t>
            </w:r>
            <w:r w:rsidRPr="004F5E89">
              <w:rPr>
                <w:rFonts w:ascii="Arial" w:hAnsi="Arial"/>
                <w:b/>
                <w:bCs/>
                <w:noProof w:val="0"/>
                <w:rtl/>
              </w:rPr>
              <w:t>"י ב"כ עוה"ד</w:t>
            </w:r>
            <w:r w:rsidR="004F5E89" w:rsidRPr="004F5E89">
              <w:rPr>
                <w:rFonts w:ascii="Arial (W1)" w:hAnsi="Arial (W1)" w:hint="cs"/>
                <w:b/>
                <w:bCs/>
                <w:noProof w:val="0"/>
                <w:rtl/>
              </w:rPr>
              <w:t xml:space="preserve"> רון נחשון</w:t>
            </w:r>
          </w:p>
        </w:tc>
      </w:tr>
      <w:tr w:rsidR="006816EC" w:rsidTr="006816EC">
        <w:trPr>
          <w:jc w:val="center"/>
        </w:trPr>
        <w:tc>
          <w:tcPr>
            <w:tcW w:w="8820" w:type="dxa"/>
            <w:gridSpan w:val="4"/>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AD06D3" w:rsidP="004F5E89">
            <w:pPr>
              <w:rPr>
                <w:rFonts w:ascii="Arial (W1)" w:hAnsi="Arial (W1)"/>
                <w:b/>
                <w:bCs/>
                <w:noProof w:val="0"/>
                <w:sz w:val="28"/>
                <w:szCs w:val="28"/>
              </w:rPr>
            </w:pPr>
            <w:sdt>
              <w:sdtPr>
                <w:rPr>
                  <w:rFonts w:hint="cs"/>
                  <w:rtl/>
                </w:rPr>
                <w:alias w:val="1184"/>
                <w:tag w:val="1184"/>
                <w:id w:val="-910234160"/>
                <w:text w:multiLine="1"/>
              </w:sdtPr>
              <w:sdtEndPr/>
              <w:sdtContent>
                <w:r w:rsidR="004F5E89">
                  <w:rPr>
                    <w:rFonts w:hint="cs"/>
                    <w:b/>
                    <w:bCs/>
                    <w:noProof w:val="0"/>
                    <w:sz w:val="28"/>
                    <w:rtl/>
                  </w:rPr>
                  <w:t>ה</w:t>
                </w:r>
                <w:r w:rsidR="00D855A1">
                  <w:rPr>
                    <w:rFonts w:hint="cs"/>
                    <w:b/>
                    <w:bCs/>
                    <w:noProof w:val="0"/>
                    <w:sz w:val="28"/>
                    <w:rtl/>
                  </w:rPr>
                  <w:t>משיב</w:t>
                </w:r>
                <w:r w:rsidR="004F5E89">
                  <w:rPr>
                    <w:rFonts w:hint="cs"/>
                    <w:rtl/>
                  </w:rPr>
                  <w:t>ה</w:t>
                </w:r>
              </w:sdtContent>
            </w:sdt>
          </w:p>
        </w:tc>
        <w:tc>
          <w:tcPr>
            <w:tcW w:w="5571" w:type="dxa"/>
            <w:gridSpan w:val="2"/>
          </w:tcPr>
          <w:p w:rsidR="004F5E89" w:rsidRDefault="00AD06D3" w:rsidP="0000705A">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00705A">
                  <w:rPr>
                    <w:rFonts w:hint="cs"/>
                    <w:b/>
                    <w:bCs/>
                    <w:noProof w:val="0"/>
                    <w:sz w:val="28"/>
                    <w:rtl/>
                  </w:rPr>
                  <w:t>אלמונית</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D855A1">
                  <w:rPr>
                    <w:rFonts w:hint="eastAsia"/>
                    <w:b/>
                    <w:bCs/>
                    <w:noProof w:val="0"/>
                    <w:sz w:val="28"/>
                    <w:rtl/>
                  </w:rPr>
                  <w:t>ת"ז</w:t>
                </w:r>
              </w:sdtContent>
            </w:sdt>
            <w:r w:rsidR="009C358E" w:rsidRPr="009C358E">
              <w:rPr>
                <w:rFonts w:hint="cs"/>
                <w:b/>
                <w:bCs/>
                <w:noProof w:val="0"/>
                <w:sz w:val="28"/>
                <w:rtl/>
              </w:rPr>
              <w:t xml:space="preserve"> </w:t>
            </w:r>
            <w:r w:rsidR="0000705A" w:rsidRPr="0000705A">
              <w:rPr>
                <w:rFonts w:ascii="David" w:hAnsi="David"/>
                <w:b/>
                <w:bCs/>
                <w:noProof w:val="0"/>
                <w:szCs w:val="22"/>
              </w:rPr>
              <w:t>XXXXXXXXX</w:t>
            </w:r>
          </w:p>
          <w:p w:rsidR="006816EC" w:rsidRPr="004F5E89" w:rsidRDefault="00E44DDF" w:rsidP="004F5E89">
            <w:pPr>
              <w:rPr>
                <w:rFonts w:ascii="Arial (W1)" w:hAnsi="Arial (W1)"/>
                <w:b/>
                <w:bCs/>
                <w:noProof w:val="0"/>
              </w:rPr>
            </w:pPr>
            <w:r w:rsidRPr="004F5E89">
              <w:rPr>
                <w:rFonts w:ascii="Arial" w:hAnsi="Arial"/>
                <w:b/>
                <w:bCs/>
                <w:noProof w:val="0"/>
                <w:rtl/>
              </w:rPr>
              <w:t>ע"י ב"כ עוה"ד</w:t>
            </w:r>
            <w:r w:rsidR="004F5E89" w:rsidRPr="004F5E89">
              <w:rPr>
                <w:rFonts w:ascii="Arial (W1)" w:hAnsi="Arial (W1)" w:hint="cs"/>
                <w:b/>
                <w:bCs/>
                <w:noProof w:val="0"/>
                <w:rtl/>
              </w:rPr>
              <w:t xml:space="preserve"> גלית שמש פאוקר</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9B62E3" w:rsidRPr="004F5E89" w:rsidRDefault="004F5E89" w:rsidP="007F4E83">
      <w:pPr>
        <w:spacing w:line="360" w:lineRule="auto"/>
        <w:jc w:val="both"/>
        <w:rPr>
          <w:rFonts w:ascii="Arial" w:hAnsi="Arial"/>
          <w:noProof w:val="0"/>
          <w:rtl/>
        </w:rPr>
      </w:pPr>
      <w:r>
        <w:rPr>
          <w:rFonts w:ascii="Arial" w:hAnsi="Arial" w:hint="cs"/>
          <w:noProof w:val="0"/>
          <w:rtl/>
        </w:rPr>
        <w:t xml:space="preserve">בקשה לסילוק על הסף, </w:t>
      </w:r>
      <w:r w:rsidR="007F4E83">
        <w:rPr>
          <w:rFonts w:ascii="Arial" w:hAnsi="Arial" w:hint="cs"/>
          <w:noProof w:val="0"/>
          <w:rtl/>
        </w:rPr>
        <w:t xml:space="preserve">של </w:t>
      </w:r>
      <w:r w:rsidRPr="004F5E89">
        <w:rPr>
          <w:rFonts w:ascii="Arial" w:hAnsi="Arial" w:hint="cs"/>
          <w:noProof w:val="0"/>
          <w:rtl/>
        </w:rPr>
        <w:t>תביעה להגדלת מזונות</w:t>
      </w:r>
      <w:r w:rsidR="000B1FB1">
        <w:rPr>
          <w:rFonts w:ascii="Arial" w:hAnsi="Arial" w:hint="cs"/>
          <w:noProof w:val="0"/>
          <w:rtl/>
        </w:rPr>
        <w:t>, אותה הגישה המשיבה כנגד המבקש.</w:t>
      </w:r>
    </w:p>
    <w:p w:rsidR="004F5E89" w:rsidRDefault="004F5E89" w:rsidP="009B62E3">
      <w:pPr>
        <w:spacing w:line="360" w:lineRule="auto"/>
        <w:jc w:val="both"/>
        <w:rPr>
          <w:rFonts w:ascii="Arial" w:hAnsi="Arial"/>
          <w:b/>
          <w:bCs/>
          <w:noProof w:val="0"/>
          <w:u w:val="single"/>
          <w:rtl/>
        </w:rPr>
      </w:pPr>
    </w:p>
    <w:p w:rsidR="000B1FB1" w:rsidRPr="0085237C" w:rsidRDefault="000B1FB1" w:rsidP="0000705A">
      <w:pPr>
        <w:numPr>
          <w:ilvl w:val="0"/>
          <w:numId w:val="1"/>
        </w:numPr>
        <w:spacing w:after="160" w:line="360" w:lineRule="auto"/>
        <w:jc w:val="both"/>
        <w:rPr>
          <w:rFonts w:ascii="Arial" w:hAnsi="Arial"/>
          <w:noProof w:val="0"/>
        </w:rPr>
      </w:pPr>
      <w:r>
        <w:rPr>
          <w:rFonts w:ascii="Arial" w:hAnsi="Arial"/>
          <w:noProof w:val="0"/>
          <w:rtl/>
        </w:rPr>
        <w:t>הצדדים יהודים, נישאו כדמו"י בשנת 1998. מנישואי הצדדים נולדו הקטינות: א</w:t>
      </w:r>
      <w:r w:rsidR="0000705A">
        <w:rPr>
          <w:rFonts w:ascii="Arial" w:hAnsi="Arial" w:hint="cs"/>
          <w:noProof w:val="0"/>
          <w:rtl/>
        </w:rPr>
        <w:t>'</w:t>
      </w:r>
      <w:r>
        <w:rPr>
          <w:rFonts w:ascii="Arial" w:hAnsi="Arial"/>
          <w:noProof w:val="0"/>
          <w:rtl/>
        </w:rPr>
        <w:t xml:space="preserve"> (בגירה) – ילידת 5.12.2000, א</w:t>
      </w:r>
      <w:r w:rsidR="0000705A">
        <w:rPr>
          <w:rFonts w:ascii="Arial" w:hAnsi="Arial" w:hint="cs"/>
          <w:noProof w:val="0"/>
          <w:rtl/>
        </w:rPr>
        <w:t>.י'</w:t>
      </w:r>
      <w:r w:rsidR="0000705A">
        <w:rPr>
          <w:rFonts w:ascii="Arial" w:hAnsi="Arial"/>
          <w:noProof w:val="0"/>
          <w:rtl/>
        </w:rPr>
        <w:t xml:space="preserve"> (בגירה) ילידת 10.12.2003 ול</w:t>
      </w:r>
      <w:r w:rsidR="0000705A">
        <w:rPr>
          <w:rFonts w:ascii="Arial" w:hAnsi="Arial" w:hint="cs"/>
          <w:noProof w:val="0"/>
          <w:rtl/>
        </w:rPr>
        <w:t>'</w:t>
      </w:r>
      <w:r w:rsidR="0085237C">
        <w:rPr>
          <w:rFonts w:ascii="Arial" w:hAnsi="Arial"/>
          <w:noProof w:val="0"/>
          <w:rtl/>
        </w:rPr>
        <w:t xml:space="preserve"> ( בת 15 לערך) ילידת 4.12.2008.</w:t>
      </w:r>
      <w:r w:rsidR="0085237C">
        <w:rPr>
          <w:rFonts w:ascii="Arial" w:hAnsi="Arial" w:hint="cs"/>
          <w:noProof w:val="0"/>
          <w:rtl/>
        </w:rPr>
        <w:t xml:space="preserve"> </w:t>
      </w:r>
      <w:r w:rsidR="007F4E83" w:rsidRPr="0085237C">
        <w:rPr>
          <w:rFonts w:ascii="Arial" w:hAnsi="Arial" w:hint="cs"/>
          <w:noProof w:val="0"/>
          <w:rtl/>
        </w:rPr>
        <w:t xml:space="preserve">בשנת 2007 לערך חל משבר משפחתי, בעטיו </w:t>
      </w:r>
      <w:r w:rsidRPr="0085237C">
        <w:rPr>
          <w:rFonts w:ascii="Arial" w:hAnsi="Arial"/>
          <w:noProof w:val="0"/>
          <w:rtl/>
        </w:rPr>
        <w:t xml:space="preserve">נפרדו </w:t>
      </w:r>
      <w:r w:rsidR="007F4E83" w:rsidRPr="0085237C">
        <w:rPr>
          <w:rFonts w:ascii="Arial" w:hAnsi="Arial" w:hint="cs"/>
          <w:noProof w:val="0"/>
          <w:rtl/>
        </w:rPr>
        <w:t xml:space="preserve">הצדדים למשך מספר חודשים, ולאחריהם </w:t>
      </w:r>
      <w:r w:rsidRPr="0085237C">
        <w:rPr>
          <w:rFonts w:ascii="Arial" w:hAnsi="Arial"/>
          <w:noProof w:val="0"/>
          <w:rtl/>
        </w:rPr>
        <w:t>חזרו לחיות תחת אותה קורת גג</w:t>
      </w:r>
      <w:r w:rsidR="007F4E83" w:rsidRPr="0085237C">
        <w:rPr>
          <w:rFonts w:ascii="Arial" w:hAnsi="Arial" w:hint="cs"/>
          <w:noProof w:val="0"/>
          <w:rtl/>
        </w:rPr>
        <w:t>, משך</w:t>
      </w:r>
      <w:r w:rsidRPr="0085237C">
        <w:rPr>
          <w:rFonts w:ascii="Arial" w:hAnsi="Arial"/>
          <w:noProof w:val="0"/>
          <w:rtl/>
        </w:rPr>
        <w:t xml:space="preserve"> למעלה מעשור. הצדדים חלוקים בכל הנוגע לנסיבות אשר הובילו לכך וכן ביחס למועד הקו</w:t>
      </w:r>
      <w:r w:rsidR="007F4E83" w:rsidRPr="0085237C">
        <w:rPr>
          <w:rFonts w:ascii="Arial" w:hAnsi="Arial" w:hint="cs"/>
          <w:noProof w:val="0"/>
          <w:rtl/>
        </w:rPr>
        <w:t>ב</w:t>
      </w:r>
      <w:r w:rsidRPr="0085237C">
        <w:rPr>
          <w:rFonts w:ascii="Arial" w:hAnsi="Arial"/>
          <w:noProof w:val="0"/>
          <w:rtl/>
        </w:rPr>
        <w:t xml:space="preserve">ע, שעה שהאיש טוען כי מועד הקרע חל ביום 19.2.2020 (מועד פתיחת תיק י"ס ) </w:t>
      </w:r>
      <w:r w:rsidRPr="0085237C">
        <w:rPr>
          <w:rFonts w:ascii="Arial" w:hAnsi="Arial"/>
          <w:b/>
          <w:bCs/>
          <w:noProof w:val="0"/>
          <w:rtl/>
        </w:rPr>
        <w:t>מנגד,</w:t>
      </w:r>
      <w:r w:rsidRPr="0085237C">
        <w:rPr>
          <w:rFonts w:ascii="Arial" w:hAnsi="Arial"/>
          <w:noProof w:val="0"/>
          <w:rtl/>
        </w:rPr>
        <w:t xml:space="preserve"> טוענת האישה כי המועד הקבוע חל בשנת 2007. </w:t>
      </w:r>
      <w:r w:rsidRPr="0085237C">
        <w:rPr>
          <w:rFonts w:ascii="Arial" w:hAnsi="Arial" w:hint="cs"/>
          <w:noProof w:val="0"/>
          <w:rtl/>
        </w:rPr>
        <w:t xml:space="preserve">  בין הצדדים הליך נוסף, בתלה"מ 10362-08-20, ובו דיון אודות מועד הקרע.</w:t>
      </w:r>
    </w:p>
    <w:p w:rsidR="000B1FB1" w:rsidRDefault="000B1FB1" w:rsidP="000B1FB1">
      <w:pPr>
        <w:pStyle w:val="ad"/>
        <w:rPr>
          <w:rFonts w:ascii="Arial" w:hAnsi="Arial"/>
          <w:noProof w:val="0"/>
          <w:rtl/>
        </w:rPr>
      </w:pPr>
    </w:p>
    <w:p w:rsidR="000B1FB1" w:rsidRPr="000B1FB1" w:rsidRDefault="000B1FB1" w:rsidP="0000705A">
      <w:pPr>
        <w:numPr>
          <w:ilvl w:val="0"/>
          <w:numId w:val="1"/>
        </w:numPr>
        <w:spacing w:after="160" w:line="360" w:lineRule="auto"/>
        <w:jc w:val="both"/>
        <w:rPr>
          <w:rFonts w:ascii="Arial" w:hAnsi="Arial"/>
          <w:noProof w:val="0"/>
        </w:rPr>
      </w:pPr>
      <w:r>
        <w:rPr>
          <w:rFonts w:ascii="Arial" w:hAnsi="Arial"/>
          <w:noProof w:val="0"/>
          <w:rtl/>
        </w:rPr>
        <w:t>ביום 16.8.2021 ניתן פסק דין</w:t>
      </w:r>
      <w:r>
        <w:rPr>
          <w:rFonts w:ascii="Arial" w:hAnsi="Arial" w:hint="cs"/>
          <w:noProof w:val="0"/>
          <w:rtl/>
        </w:rPr>
        <w:t>,</w:t>
      </w:r>
      <w:r>
        <w:rPr>
          <w:rFonts w:ascii="Arial" w:hAnsi="Arial"/>
          <w:noProof w:val="0"/>
          <w:rtl/>
        </w:rPr>
        <w:t xml:space="preserve"> ע"י המותב הקודם כב' השו' ברגר המכריע בסוגיית המזונות וחלוקת זמני שהות </w:t>
      </w:r>
      <w:r>
        <w:rPr>
          <w:rFonts w:ascii="David" w:hAnsi="David"/>
          <w:noProof w:val="0"/>
          <w:rtl/>
        </w:rPr>
        <w:t xml:space="preserve">( </w:t>
      </w:r>
      <w:sdt>
        <w:sdtPr>
          <w:rPr>
            <w:rFonts w:ascii="David" w:hAnsi="David"/>
            <w:b/>
            <w:bCs/>
            <w:noProof w:val="0"/>
            <w:rtl/>
          </w:rPr>
          <w:alias w:val="1170"/>
          <w:tag w:val="1170"/>
          <w:id w:val="-1478069014"/>
          <w:text w:multiLine="1"/>
        </w:sdtPr>
        <w:sdtEndPr/>
        <w:sdtContent>
          <w:r>
            <w:rPr>
              <w:rFonts w:ascii="David" w:hAnsi="David"/>
              <w:b/>
              <w:bCs/>
              <w:noProof w:val="0"/>
              <w:rtl/>
            </w:rPr>
            <w:t>תלה"מ</w:t>
          </w:r>
        </w:sdtContent>
      </w:sdt>
      <w:r>
        <w:rPr>
          <w:rFonts w:ascii="David" w:hAnsi="David"/>
          <w:b/>
          <w:bCs/>
          <w:noProof w:val="0"/>
          <w:rtl/>
        </w:rPr>
        <w:t xml:space="preserve"> </w:t>
      </w:r>
      <w:sdt>
        <w:sdtPr>
          <w:rPr>
            <w:rFonts w:ascii="David" w:hAnsi="David"/>
            <w:b/>
            <w:bCs/>
            <w:noProof w:val="0"/>
            <w:rtl/>
          </w:rPr>
          <w:alias w:val="1171"/>
          <w:tag w:val="1171"/>
          <w:id w:val="-2112501452"/>
          <w:text w:multiLine="1"/>
        </w:sdtPr>
        <w:sdtEndPr/>
        <w:sdtContent>
          <w:r>
            <w:rPr>
              <w:rFonts w:ascii="David" w:hAnsi="David"/>
              <w:b/>
              <w:bCs/>
              <w:noProof w:val="0"/>
              <w:rtl/>
            </w:rPr>
            <w:t>43234-06-20</w:t>
          </w:r>
        </w:sdtContent>
      </w:sdt>
      <w:r>
        <w:rPr>
          <w:rFonts w:ascii="David" w:hAnsi="David"/>
          <w:noProof w:val="0"/>
          <w:rtl/>
        </w:rPr>
        <w:t xml:space="preserve">, </w:t>
      </w:r>
      <w:r>
        <w:rPr>
          <w:rFonts w:ascii="David" w:eastAsia="Calibri" w:hAnsi="David"/>
          <w:b/>
          <w:bCs/>
          <w:noProof w:val="0"/>
          <w:rtl/>
        </w:rPr>
        <w:t>תלה"מ 69687-07-20</w:t>
      </w:r>
      <w:r>
        <w:rPr>
          <w:rFonts w:ascii="David" w:hAnsi="David"/>
          <w:noProof w:val="0"/>
          <w:rtl/>
        </w:rPr>
        <w:t>)</w:t>
      </w:r>
      <w:r>
        <w:rPr>
          <w:rFonts w:ascii="Arial" w:hAnsi="Arial"/>
          <w:noProof w:val="0"/>
          <w:rtl/>
        </w:rPr>
        <w:t>.</w:t>
      </w:r>
      <w:r w:rsidR="007F4E83">
        <w:rPr>
          <w:rFonts w:ascii="Arial" w:hAnsi="Arial" w:hint="cs"/>
          <w:noProof w:val="0"/>
          <w:rtl/>
        </w:rPr>
        <w:t xml:space="preserve"> פסק הדין ניתן לאחר מספר ישיבות הוכחות [3/11/2000, 13/12/2000, 24/1/21], לאחר שנשמעו עדים והתקיימו חקירות ותוך קיום דיון לגופו של עניין.   ב</w:t>
      </w:r>
      <w:r>
        <w:rPr>
          <w:rFonts w:ascii="Arial" w:hAnsi="Arial"/>
          <w:noProof w:val="0"/>
          <w:rtl/>
        </w:rPr>
        <w:t xml:space="preserve">ית המשפט העריך את </w:t>
      </w:r>
      <w:r>
        <w:rPr>
          <w:rFonts w:ascii="Arial" w:hAnsi="Arial"/>
          <w:noProof w:val="0"/>
          <w:u w:val="single"/>
          <w:rtl/>
        </w:rPr>
        <w:t xml:space="preserve">צרכי </w:t>
      </w:r>
      <w:r>
        <w:rPr>
          <w:rFonts w:ascii="Arial" w:hAnsi="Arial"/>
          <w:b/>
          <w:bCs/>
          <w:noProof w:val="0"/>
          <w:u w:val="single"/>
          <w:rtl/>
        </w:rPr>
        <w:t>ל</w:t>
      </w:r>
      <w:r w:rsidR="0000705A">
        <w:rPr>
          <w:rFonts w:ascii="Arial" w:hAnsi="Arial" w:hint="cs"/>
          <w:b/>
          <w:bCs/>
          <w:noProof w:val="0"/>
          <w:u w:val="single"/>
          <w:rtl/>
        </w:rPr>
        <w:t>'</w:t>
      </w:r>
      <w:r>
        <w:rPr>
          <w:rFonts w:ascii="Arial" w:hAnsi="Arial"/>
          <w:b/>
          <w:bCs/>
          <w:noProof w:val="0"/>
          <w:u w:val="single"/>
          <w:rtl/>
        </w:rPr>
        <w:t xml:space="preserve"> ו</w:t>
      </w:r>
      <w:r w:rsidR="0000705A">
        <w:rPr>
          <w:rFonts w:ascii="Arial" w:hAnsi="Arial" w:hint="cs"/>
          <w:b/>
          <w:bCs/>
          <w:noProof w:val="0"/>
          <w:u w:val="single"/>
          <w:rtl/>
        </w:rPr>
        <w:t>א.י'</w:t>
      </w:r>
      <w:r>
        <w:rPr>
          <w:rFonts w:ascii="Arial" w:hAnsi="Arial"/>
          <w:noProof w:val="0"/>
          <w:rtl/>
        </w:rPr>
        <w:t xml:space="preserve"> שהייתה אז קטינה על סף בגירות, בסכום של 2,000 ₪ לחודש ואת </w:t>
      </w:r>
      <w:r>
        <w:rPr>
          <w:rFonts w:ascii="Arial" w:hAnsi="Arial"/>
          <w:noProof w:val="0"/>
          <w:u w:val="single"/>
          <w:rtl/>
        </w:rPr>
        <w:t xml:space="preserve">צרכי הבגירה </w:t>
      </w:r>
      <w:r>
        <w:rPr>
          <w:rFonts w:ascii="Arial" w:hAnsi="Arial"/>
          <w:b/>
          <w:bCs/>
          <w:noProof w:val="0"/>
          <w:u w:val="single"/>
          <w:rtl/>
        </w:rPr>
        <w:t>א</w:t>
      </w:r>
      <w:r w:rsidR="0000705A">
        <w:rPr>
          <w:rFonts w:ascii="Arial" w:hAnsi="Arial" w:hint="cs"/>
          <w:b/>
          <w:bCs/>
          <w:noProof w:val="0"/>
          <w:u w:val="single"/>
          <w:rtl/>
        </w:rPr>
        <w:t>'</w:t>
      </w:r>
      <w:r>
        <w:rPr>
          <w:rFonts w:ascii="Arial" w:hAnsi="Arial"/>
          <w:noProof w:val="0"/>
          <w:rtl/>
        </w:rPr>
        <w:t xml:space="preserve"> בסכום של 1/3 מ-2,000 ₪ וסה"כ 660 ₪ (במעוגל). מתוך צרכי הקטינות ולו רק לצורכי הערכת שיעור המזונות אני קובע כי המזונות תלויי השהות הן בסך של 1000 ₪ והמזונות שאינן תלויי השהות הן בסך של 1000 ₪. </w:t>
      </w:r>
    </w:p>
    <w:p w:rsidR="000B1FB1" w:rsidRDefault="000B1FB1" w:rsidP="000B1FB1">
      <w:pPr>
        <w:pStyle w:val="ad"/>
        <w:rPr>
          <w:rFonts w:ascii="Arial" w:hAnsi="Arial"/>
          <w:noProof w:val="0"/>
          <w:u w:val="single"/>
          <w:rtl/>
        </w:rPr>
      </w:pPr>
    </w:p>
    <w:p w:rsidR="000B1FB1" w:rsidRDefault="000B1FB1" w:rsidP="000B1FB1">
      <w:pPr>
        <w:numPr>
          <w:ilvl w:val="0"/>
          <w:numId w:val="1"/>
        </w:numPr>
        <w:spacing w:after="160" w:line="360" w:lineRule="auto"/>
        <w:jc w:val="both"/>
        <w:rPr>
          <w:rFonts w:ascii="Arial" w:hAnsi="Arial"/>
          <w:noProof w:val="0"/>
        </w:rPr>
      </w:pPr>
      <w:r>
        <w:rPr>
          <w:rFonts w:ascii="Arial" w:hAnsi="Arial"/>
          <w:noProof w:val="0"/>
          <w:u w:val="single"/>
          <w:rtl/>
        </w:rPr>
        <w:t>בנוגע להכנסת האם  והוצאתיה,</w:t>
      </w:r>
      <w:r>
        <w:rPr>
          <w:rFonts w:ascii="Arial" w:hAnsi="Arial"/>
          <w:noProof w:val="0"/>
          <w:rtl/>
        </w:rPr>
        <w:t xml:space="preserve"> נקבע :" ...</w:t>
      </w:r>
      <w:r>
        <w:rPr>
          <w:rFonts w:ascii="Arial" w:hAnsi="Arial"/>
          <w:b/>
          <w:bCs/>
          <w:noProof w:val="0"/>
          <w:rtl/>
        </w:rPr>
        <w:t xml:space="preserve">היה על האם להגיש תלושי שכר על מנת להוכיח את השכר לו היא טוענת, אולם מאחר שהאב לא חלק על שכר זה בסיכומיו, (ראו: סעיף 4.1 לסיכומי האב) אני קובע כי שכרה של האם עומד על 14,000 ₪ בניכוי ניכויי חובה. אשר </w:t>
      </w:r>
      <w:r>
        <w:rPr>
          <w:rFonts w:ascii="Arial" w:hAnsi="Arial"/>
          <w:b/>
          <w:bCs/>
          <w:noProof w:val="0"/>
          <w:rtl/>
        </w:rPr>
        <w:lastRenderedPageBreak/>
        <w:t>להוצאותיה של האם, האם משלמת עבור שכר דירה סכום של 5900 ₪ (ראו נספח 12 לתצהיר האם) האם טענה שיש לה הוצאה קבועה של 250 ₪ עבור תרופות, אך שוב לא גיבתה טענה זו בכל ראייה. אשר להוצאות אחזקת הבית, בראי הראיות שהוגשו על ידי האם, אני מעריך את הוצאות אחזקת הבית של האם בסכום של 2500 ₪ לחודש</w:t>
      </w:r>
      <w:r>
        <w:rPr>
          <w:rFonts w:ascii="Arial" w:hAnsi="Arial"/>
          <w:noProof w:val="0"/>
          <w:rtl/>
        </w:rPr>
        <w:t xml:space="preserve">...." . </w:t>
      </w:r>
    </w:p>
    <w:p w:rsidR="000B1FB1" w:rsidRDefault="000B1FB1" w:rsidP="000B1FB1">
      <w:pPr>
        <w:pStyle w:val="ad"/>
        <w:rPr>
          <w:rFonts w:ascii="Arial" w:hAnsi="Arial"/>
          <w:noProof w:val="0"/>
          <w:u w:val="single"/>
          <w:rtl/>
        </w:rPr>
      </w:pPr>
    </w:p>
    <w:p w:rsidR="000B1FB1" w:rsidRDefault="000B1FB1" w:rsidP="000B1FB1">
      <w:pPr>
        <w:numPr>
          <w:ilvl w:val="0"/>
          <w:numId w:val="1"/>
        </w:numPr>
        <w:spacing w:after="160" w:line="360" w:lineRule="auto"/>
        <w:jc w:val="both"/>
        <w:rPr>
          <w:rFonts w:ascii="Arial" w:hAnsi="Arial"/>
          <w:noProof w:val="0"/>
        </w:rPr>
      </w:pPr>
      <w:r>
        <w:rPr>
          <w:rFonts w:ascii="Arial" w:hAnsi="Arial"/>
          <w:noProof w:val="0"/>
          <w:u w:val="single"/>
          <w:rtl/>
        </w:rPr>
        <w:t>בנוגע להכנסת האב והוצאתיו</w:t>
      </w:r>
      <w:r>
        <w:rPr>
          <w:rFonts w:ascii="Arial" w:hAnsi="Arial"/>
          <w:noProof w:val="0"/>
          <w:rtl/>
        </w:rPr>
        <w:t xml:space="preserve">, נקבע:"... </w:t>
      </w:r>
      <w:r>
        <w:rPr>
          <w:rFonts w:ascii="Arial" w:hAnsi="Arial"/>
          <w:b/>
          <w:bCs/>
          <w:noProof w:val="0"/>
          <w:rtl/>
        </w:rPr>
        <w:t>אני סבור שהכנסתו של האב גבוהה מההכנסה לה הוא טוען. בשלב זה ובהעדר נתונים אחרים אני מאריך את הכנסתו של האב ב-10,500 ₪ לחודש המורכבים מהכנסה מוערכת בסך של 7,500 ₪ בשים לב לפוטנציאל הכנסתו האפשרי כסוכן מכירות מקצועי, מתווך דירות ואיש שיווק והכנסתו בפועל עובר לשנת הקורונה, כאשר לכך יש להוסיף את סכום הכסף שמועבר לאב בין כסיוע כלכלי מאת אמו ובין ככספים שמנותבים לאמו אך שייכים לו. אני מעריך את אותה העברה כלכלית לפחות בסכום  של כ-3000 ₪ לחודש. כאמור, סה"כ הכנסתו של האב מוערכת בשלב זה בסכום של כ- 10,500 ₪..."</w:t>
      </w:r>
      <w:r>
        <w:rPr>
          <w:rFonts w:ascii="Arial" w:hAnsi="Arial"/>
          <w:noProof w:val="0"/>
          <w:rtl/>
        </w:rPr>
        <w:t xml:space="preserve"> .  </w:t>
      </w:r>
    </w:p>
    <w:p w:rsidR="000B1FB1" w:rsidRDefault="000B1FB1" w:rsidP="000B1FB1">
      <w:pPr>
        <w:pStyle w:val="ad"/>
        <w:rPr>
          <w:rFonts w:ascii="Arial" w:hAnsi="Arial"/>
          <w:noProof w:val="0"/>
          <w:u w:val="single"/>
          <w:rtl/>
        </w:rPr>
      </w:pPr>
    </w:p>
    <w:p w:rsidR="000B1FB1" w:rsidRDefault="000B1FB1" w:rsidP="000B1FB1">
      <w:pPr>
        <w:numPr>
          <w:ilvl w:val="0"/>
          <w:numId w:val="1"/>
        </w:numPr>
        <w:spacing w:after="160" w:line="360" w:lineRule="auto"/>
        <w:jc w:val="both"/>
        <w:rPr>
          <w:rFonts w:ascii="Arial" w:hAnsi="Arial"/>
          <w:noProof w:val="0"/>
        </w:rPr>
      </w:pPr>
      <w:r>
        <w:rPr>
          <w:rFonts w:ascii="Arial" w:hAnsi="Arial"/>
          <w:noProof w:val="0"/>
          <w:u w:val="single"/>
          <w:rtl/>
        </w:rPr>
        <w:t>בעניין המדור</w:t>
      </w:r>
      <w:r>
        <w:rPr>
          <w:rFonts w:ascii="Arial" w:hAnsi="Arial"/>
          <w:noProof w:val="0"/>
          <w:rtl/>
        </w:rPr>
        <w:t>, נקבע, כי במצב דברים, מתקיים איזון בין הצדדים והפער בהכנסות הפנויות נשמר. אותו האיזון בין הצדדים ביחס למדור והשפעתו ישמר גם אם הדירה תימכר שאז שניהם יאלצו לשכור דירה ,ולשניהם יהיה הון התחלתי זהה שמקורו מתמורת הדירה.  מכאן, נקבע, כי יחס ההכנסות של הצדדים הוא 57% לאם ו- 43% לאב (מעוגל).</w:t>
      </w:r>
    </w:p>
    <w:p w:rsidR="000B1FB1" w:rsidRDefault="000B1FB1" w:rsidP="000B1FB1">
      <w:pPr>
        <w:spacing w:line="360" w:lineRule="auto"/>
        <w:ind w:left="720"/>
        <w:jc w:val="both"/>
        <w:rPr>
          <w:rFonts w:ascii="Arial" w:hAnsi="Arial"/>
          <w:noProof w:val="0"/>
          <w:rtl/>
        </w:rPr>
      </w:pPr>
    </w:p>
    <w:p w:rsidR="000B1FB1" w:rsidRDefault="000B1FB1" w:rsidP="0029461E">
      <w:pPr>
        <w:numPr>
          <w:ilvl w:val="0"/>
          <w:numId w:val="1"/>
        </w:numPr>
        <w:spacing w:after="160" w:line="360" w:lineRule="auto"/>
        <w:jc w:val="both"/>
        <w:rPr>
          <w:rFonts w:ascii="Arial" w:hAnsi="Arial"/>
          <w:noProof w:val="0"/>
        </w:rPr>
      </w:pPr>
      <w:r>
        <w:rPr>
          <w:rFonts w:ascii="Arial" w:hAnsi="Arial"/>
          <w:noProof w:val="0"/>
          <w:rtl/>
        </w:rPr>
        <w:t>על פסק הדין דלעיל, הגישה האם ערעור לבית המשפט המחוזי במסגרת עמ"ש 58949-10-21. בדיון שהתקיים 17.1.2022 הגיעו הצדדים להסכמות שקבלו תוקף של פסק דין , הכל כדלקמן:</w:t>
      </w:r>
    </w:p>
    <w:p w:rsidR="000B1FB1" w:rsidRDefault="000B1FB1" w:rsidP="000B1FB1">
      <w:pPr>
        <w:spacing w:line="360" w:lineRule="auto"/>
        <w:ind w:left="1701" w:right="1134"/>
        <w:jc w:val="both"/>
        <w:rPr>
          <w:rFonts w:ascii="Arial" w:hAnsi="Arial"/>
          <w:b/>
          <w:bCs/>
          <w:noProof w:val="0"/>
        </w:rPr>
      </w:pPr>
      <w:r>
        <w:rPr>
          <w:rFonts w:ascii="Arial" w:hAnsi="Arial"/>
          <w:noProof w:val="0"/>
          <w:rtl/>
        </w:rPr>
        <w:t>"...</w:t>
      </w:r>
    </w:p>
    <w:p w:rsidR="000B1FB1" w:rsidRDefault="000B1FB1" w:rsidP="000B1FB1">
      <w:pPr>
        <w:spacing w:line="360" w:lineRule="auto"/>
        <w:ind w:left="1701" w:right="1134"/>
        <w:jc w:val="both"/>
        <w:rPr>
          <w:rFonts w:ascii="Arial" w:hAnsi="Arial"/>
          <w:b/>
          <w:bCs/>
          <w:noProof w:val="0"/>
          <w:rtl/>
        </w:rPr>
      </w:pPr>
      <w:r>
        <w:rPr>
          <w:rFonts w:ascii="Arial" w:hAnsi="Arial"/>
          <w:b/>
          <w:bCs/>
          <w:noProof w:val="0"/>
          <w:rtl/>
        </w:rPr>
        <w:t>א.</w:t>
      </w:r>
      <w:r>
        <w:rPr>
          <w:rFonts w:ascii="Arial" w:hAnsi="Arial"/>
          <w:b/>
          <w:bCs/>
          <w:noProof w:val="0"/>
          <w:rtl/>
        </w:rPr>
        <w:tab/>
        <w:t>פסק-הדין של בימ"ש קמא יעמוד על כנו בשינויים הבאים:</w:t>
      </w:r>
    </w:p>
    <w:p w:rsidR="000B1FB1" w:rsidRDefault="000B1FB1" w:rsidP="000B1FB1">
      <w:pPr>
        <w:spacing w:line="360" w:lineRule="auto"/>
        <w:ind w:left="1701" w:right="1134"/>
        <w:jc w:val="both"/>
        <w:rPr>
          <w:rFonts w:ascii="Arial" w:hAnsi="Arial"/>
          <w:b/>
          <w:bCs/>
          <w:noProof w:val="0"/>
          <w:rtl/>
        </w:rPr>
      </w:pPr>
    </w:p>
    <w:p w:rsidR="000B1FB1" w:rsidRDefault="000B1FB1" w:rsidP="000B1FB1">
      <w:pPr>
        <w:spacing w:line="360" w:lineRule="auto"/>
        <w:ind w:left="1701" w:right="1134"/>
        <w:jc w:val="both"/>
        <w:rPr>
          <w:rFonts w:ascii="Arial" w:hAnsi="Arial"/>
          <w:b/>
          <w:bCs/>
          <w:noProof w:val="0"/>
          <w:rtl/>
        </w:rPr>
      </w:pPr>
      <w:r>
        <w:rPr>
          <w:rFonts w:ascii="Arial" w:hAnsi="Arial"/>
          <w:b/>
          <w:bCs/>
          <w:noProof w:val="0"/>
          <w:rtl/>
        </w:rPr>
        <w:t>ב.</w:t>
      </w:r>
      <w:r>
        <w:rPr>
          <w:rFonts w:ascii="Arial" w:hAnsi="Arial"/>
          <w:b/>
          <w:bCs/>
          <w:noProof w:val="0"/>
          <w:rtl/>
        </w:rPr>
        <w:tab/>
        <w:t>המזונות שעל המשיב לשלם עבור הבת ליעד, יעמדו על סך של 750 ₪ ממועד הגשת התביעה בבית משפט קמא - 06/2020 ועד הגיעה לגיל 18 או עד למועד גיוסה, לפי המאוחר מבין שני המועדים.</w:t>
      </w:r>
    </w:p>
    <w:p w:rsidR="000B1FB1" w:rsidRDefault="000B1FB1" w:rsidP="000B1FB1">
      <w:pPr>
        <w:spacing w:line="360" w:lineRule="auto"/>
        <w:ind w:left="1701" w:right="1134"/>
        <w:jc w:val="both"/>
        <w:rPr>
          <w:rFonts w:ascii="Arial" w:hAnsi="Arial"/>
          <w:b/>
          <w:bCs/>
          <w:noProof w:val="0"/>
          <w:rtl/>
        </w:rPr>
      </w:pPr>
      <w:r>
        <w:rPr>
          <w:rFonts w:ascii="Arial" w:hAnsi="Arial"/>
          <w:b/>
          <w:bCs/>
          <w:noProof w:val="0"/>
          <w:rtl/>
        </w:rPr>
        <w:t>במועד גיוסה ובכל מהלך השירות הסדיר, יעמוד החיוב כפי קביעת בית משפט קמא על סך של 280 ₪.</w:t>
      </w:r>
    </w:p>
    <w:p w:rsidR="000B1FB1" w:rsidRDefault="000B1FB1" w:rsidP="000B1FB1">
      <w:pPr>
        <w:spacing w:line="360" w:lineRule="auto"/>
        <w:ind w:left="1701" w:right="1134"/>
        <w:jc w:val="both"/>
        <w:rPr>
          <w:rFonts w:ascii="Arial" w:hAnsi="Arial"/>
          <w:b/>
          <w:bCs/>
          <w:noProof w:val="0"/>
          <w:rtl/>
        </w:rPr>
      </w:pPr>
    </w:p>
    <w:p w:rsidR="000B1FB1" w:rsidRDefault="000B1FB1" w:rsidP="000B1FB1">
      <w:pPr>
        <w:spacing w:line="360" w:lineRule="auto"/>
        <w:ind w:left="1701" w:right="1134"/>
        <w:jc w:val="both"/>
        <w:rPr>
          <w:rFonts w:ascii="Arial" w:hAnsi="Arial"/>
          <w:b/>
          <w:bCs/>
          <w:noProof w:val="0"/>
          <w:rtl/>
        </w:rPr>
      </w:pPr>
      <w:r>
        <w:rPr>
          <w:rFonts w:ascii="Arial" w:hAnsi="Arial"/>
          <w:b/>
          <w:bCs/>
          <w:noProof w:val="0"/>
          <w:rtl/>
        </w:rPr>
        <w:lastRenderedPageBreak/>
        <w:t>ג.</w:t>
      </w:r>
      <w:r>
        <w:rPr>
          <w:rFonts w:ascii="Arial" w:hAnsi="Arial"/>
          <w:b/>
          <w:bCs/>
          <w:noProof w:val="0"/>
          <w:rtl/>
        </w:rPr>
        <w:tab/>
        <w:t>ההוצאות שנפסקו בסעיף 49ד ו-ה לפסק הדין קמא, ישולמו לפי חלוקה שווה בין ההורים, היינו 50% כל הורה. וזאת עבור התקופה מיום הגשת התביעה לפני בית משפט קמא.</w:t>
      </w:r>
    </w:p>
    <w:p w:rsidR="000B1FB1" w:rsidRDefault="000B1FB1" w:rsidP="000B1FB1">
      <w:pPr>
        <w:spacing w:line="360" w:lineRule="auto"/>
        <w:ind w:left="1701" w:right="1134"/>
        <w:jc w:val="both"/>
        <w:rPr>
          <w:rFonts w:ascii="Arial" w:hAnsi="Arial"/>
          <w:b/>
          <w:bCs/>
          <w:noProof w:val="0"/>
          <w:rtl/>
        </w:rPr>
      </w:pPr>
    </w:p>
    <w:p w:rsidR="000B1FB1" w:rsidRDefault="000B1FB1" w:rsidP="000B1FB1">
      <w:pPr>
        <w:spacing w:line="360" w:lineRule="auto"/>
        <w:ind w:left="1701" w:right="1134"/>
        <w:jc w:val="both"/>
        <w:rPr>
          <w:rFonts w:ascii="Arial" w:hAnsi="Arial"/>
          <w:b/>
          <w:bCs/>
          <w:noProof w:val="0"/>
          <w:rtl/>
        </w:rPr>
      </w:pPr>
      <w:r>
        <w:rPr>
          <w:rFonts w:ascii="Arial" w:hAnsi="Arial"/>
          <w:b/>
          <w:bCs/>
          <w:noProof w:val="0"/>
          <w:rtl/>
        </w:rPr>
        <w:t>לעניין ההפרשים בגין התקופה מיום הגשת התביעה ועד למתן פסק-הדין במסגרת הערעור, יחליט בית המשפט האם לפרוס את החוב לתשלומים כשם שביקש  המשיב אשר מערערת מתנגדת לפריסה. אשר להפרשים בגין התקופה מיום הגשת התביעה ועד למתן פסק הדין בערעור, אנו מורים כי הם ישולמו ב-7 תשלומים חודשיים שווים ורצופים, אשר יתווספו למזונות השוטפים במועד תשלומם, וזאת החל ממזונות 02/2022.</w:t>
      </w:r>
    </w:p>
    <w:p w:rsidR="000B1FB1" w:rsidRDefault="000B1FB1" w:rsidP="000B1FB1">
      <w:pPr>
        <w:spacing w:line="360" w:lineRule="auto"/>
        <w:ind w:left="1701" w:right="1134"/>
        <w:jc w:val="both"/>
        <w:rPr>
          <w:rFonts w:ascii="Arial" w:hAnsi="Arial"/>
          <w:b/>
          <w:bCs/>
          <w:noProof w:val="0"/>
          <w:rtl/>
        </w:rPr>
      </w:pPr>
      <w:r>
        <w:rPr>
          <w:rFonts w:ascii="Arial" w:hAnsi="Arial"/>
          <w:b/>
          <w:bCs/>
          <w:noProof w:val="0"/>
          <w:rtl/>
        </w:rPr>
        <w:t>כל צד ישא בהוצאותיו..."</w:t>
      </w:r>
    </w:p>
    <w:p w:rsidR="000B1FB1" w:rsidRDefault="000B1FB1" w:rsidP="000B1FB1">
      <w:pPr>
        <w:spacing w:line="360" w:lineRule="auto"/>
        <w:ind w:left="720"/>
        <w:jc w:val="both"/>
        <w:rPr>
          <w:rFonts w:ascii="Arial" w:hAnsi="Arial"/>
          <w:noProof w:val="0"/>
          <w:rtl/>
        </w:rPr>
      </w:pPr>
    </w:p>
    <w:p w:rsidR="000B1FB1" w:rsidRDefault="000B1FB1" w:rsidP="000C7CC5">
      <w:pPr>
        <w:numPr>
          <w:ilvl w:val="0"/>
          <w:numId w:val="1"/>
        </w:numPr>
        <w:spacing w:after="160" w:line="360" w:lineRule="auto"/>
        <w:jc w:val="both"/>
        <w:rPr>
          <w:rFonts w:ascii="Arial" w:hAnsi="Arial"/>
          <w:noProof w:val="0"/>
        </w:rPr>
      </w:pPr>
      <w:r>
        <w:rPr>
          <w:rFonts w:ascii="Arial" w:hAnsi="Arial"/>
          <w:noProof w:val="0"/>
          <w:rtl/>
        </w:rPr>
        <w:t>ביום 12.4.2022 הגישה האם תביעת להגדלת מזונות</w:t>
      </w:r>
      <w:r w:rsidR="0029461E">
        <w:rPr>
          <w:rFonts w:ascii="Arial" w:hAnsi="Arial" w:hint="cs"/>
          <w:noProof w:val="0"/>
          <w:rtl/>
        </w:rPr>
        <w:t xml:space="preserve">. </w:t>
      </w:r>
      <w:r>
        <w:rPr>
          <w:rFonts w:ascii="Arial" w:hAnsi="Arial"/>
          <w:noProof w:val="0"/>
          <w:rtl/>
        </w:rPr>
        <w:t>בבסיס טענותיה</w:t>
      </w:r>
      <w:r w:rsidR="0029461E">
        <w:rPr>
          <w:rFonts w:ascii="Arial" w:hAnsi="Arial" w:hint="cs"/>
          <w:noProof w:val="0"/>
          <w:rtl/>
        </w:rPr>
        <w:t xml:space="preserve">, </w:t>
      </w:r>
      <w:r>
        <w:rPr>
          <w:rFonts w:ascii="Arial" w:hAnsi="Arial"/>
          <w:noProof w:val="0"/>
          <w:rtl/>
        </w:rPr>
        <w:t xml:space="preserve">הצהרת האב </w:t>
      </w:r>
      <w:r w:rsidR="0029461E">
        <w:rPr>
          <w:rFonts w:ascii="Arial" w:hAnsi="Arial" w:hint="cs"/>
          <w:noProof w:val="0"/>
          <w:rtl/>
        </w:rPr>
        <w:t xml:space="preserve">שניתנה לצורך </w:t>
      </w:r>
      <w:r>
        <w:rPr>
          <w:rFonts w:ascii="Arial" w:hAnsi="Arial"/>
          <w:noProof w:val="0"/>
          <w:rtl/>
        </w:rPr>
        <w:t xml:space="preserve">קבלת מימון לרכישת חלקה בדירה </w:t>
      </w:r>
      <w:r w:rsidR="0029461E">
        <w:rPr>
          <w:rFonts w:ascii="Arial" w:hAnsi="Arial" w:hint="cs"/>
          <w:noProof w:val="0"/>
          <w:rtl/>
        </w:rPr>
        <w:t>ה</w:t>
      </w:r>
      <w:r>
        <w:rPr>
          <w:rFonts w:ascii="Arial" w:hAnsi="Arial"/>
          <w:noProof w:val="0"/>
          <w:rtl/>
        </w:rPr>
        <w:t>משותפת</w:t>
      </w:r>
      <w:r w:rsidR="0029461E">
        <w:rPr>
          <w:rFonts w:ascii="Arial" w:hAnsi="Arial" w:hint="cs"/>
          <w:noProof w:val="0"/>
          <w:rtl/>
        </w:rPr>
        <w:t xml:space="preserve">.   </w:t>
      </w:r>
      <w:r>
        <w:rPr>
          <w:rFonts w:ascii="Arial" w:hAnsi="Arial" w:hint="cs"/>
          <w:noProof w:val="0"/>
          <w:rtl/>
        </w:rPr>
        <w:t xml:space="preserve">לדבריה, </w:t>
      </w:r>
      <w:r>
        <w:rPr>
          <w:rFonts w:ascii="Arial" w:hAnsi="Arial"/>
          <w:noProof w:val="0"/>
          <w:rtl/>
        </w:rPr>
        <w:t>מ</w:t>
      </w:r>
      <w:r w:rsidR="0029461E">
        <w:rPr>
          <w:rFonts w:ascii="Arial" w:hAnsi="Arial" w:hint="cs"/>
          <w:noProof w:val="0"/>
          <w:rtl/>
        </w:rPr>
        <w:t>דובר ב</w:t>
      </w:r>
      <w:r>
        <w:rPr>
          <w:rFonts w:ascii="Arial" w:hAnsi="Arial"/>
          <w:noProof w:val="0"/>
          <w:rtl/>
        </w:rPr>
        <w:t>שינוי נסיבות מהותי</w:t>
      </w:r>
      <w:r w:rsidR="0029461E">
        <w:rPr>
          <w:rFonts w:ascii="Arial" w:hAnsi="Arial" w:hint="cs"/>
          <w:noProof w:val="0"/>
          <w:rtl/>
        </w:rPr>
        <w:t xml:space="preserve">, שכן, </w:t>
      </w:r>
      <w:r>
        <w:rPr>
          <w:rFonts w:ascii="Arial" w:hAnsi="Arial"/>
          <w:noProof w:val="0"/>
          <w:rtl/>
        </w:rPr>
        <w:t>האב ב</w:t>
      </w:r>
      <w:r w:rsidR="0029461E">
        <w:rPr>
          <w:rFonts w:ascii="Arial" w:hAnsi="Arial" w:hint="cs"/>
          <w:noProof w:val="0"/>
          <w:rtl/>
        </w:rPr>
        <w:t>י</w:t>
      </w:r>
      <w:r>
        <w:rPr>
          <w:rFonts w:ascii="Arial" w:hAnsi="Arial"/>
          <w:noProof w:val="0"/>
          <w:rtl/>
        </w:rPr>
        <w:t xml:space="preserve">קש </w:t>
      </w:r>
      <w:r w:rsidR="000C7CC5">
        <w:rPr>
          <w:rFonts w:ascii="Arial" w:hAnsi="Arial" w:hint="cs"/>
          <w:noProof w:val="0"/>
          <w:rtl/>
        </w:rPr>
        <w:t xml:space="preserve">כי </w:t>
      </w:r>
      <w:r>
        <w:rPr>
          <w:rFonts w:ascii="Arial" w:hAnsi="Arial"/>
          <w:noProof w:val="0"/>
          <w:rtl/>
        </w:rPr>
        <w:t>החזר ה</w:t>
      </w:r>
      <w:r w:rsidR="000C7CC5">
        <w:rPr>
          <w:rFonts w:ascii="Arial" w:hAnsi="Arial" w:hint="cs"/>
          <w:noProof w:val="0"/>
          <w:rtl/>
        </w:rPr>
        <w:t>הלוואה ה</w:t>
      </w:r>
      <w:r>
        <w:rPr>
          <w:rFonts w:ascii="Arial" w:hAnsi="Arial"/>
          <w:noProof w:val="0"/>
          <w:rtl/>
        </w:rPr>
        <w:t>חודשי</w:t>
      </w:r>
      <w:r w:rsidR="000C7CC5">
        <w:rPr>
          <w:rFonts w:ascii="Arial" w:hAnsi="Arial" w:hint="cs"/>
          <w:noProof w:val="0"/>
          <w:rtl/>
        </w:rPr>
        <w:t xml:space="preserve">,  </w:t>
      </w:r>
      <w:r>
        <w:rPr>
          <w:rFonts w:ascii="Arial" w:hAnsi="Arial"/>
          <w:noProof w:val="0"/>
          <w:rtl/>
        </w:rPr>
        <w:t>יעמוד על סך 9,000 ₪</w:t>
      </w:r>
      <w:r w:rsidR="000C7CC5">
        <w:rPr>
          <w:rFonts w:ascii="Arial" w:hAnsi="Arial" w:hint="cs"/>
          <w:noProof w:val="0"/>
          <w:rtl/>
        </w:rPr>
        <w:t xml:space="preserve">. </w:t>
      </w:r>
      <w:r>
        <w:rPr>
          <w:rFonts w:ascii="Arial" w:hAnsi="Arial"/>
          <w:noProof w:val="0"/>
          <w:rtl/>
        </w:rPr>
        <w:t xml:space="preserve">דבר </w:t>
      </w:r>
      <w:r w:rsidR="000C7CC5">
        <w:rPr>
          <w:rFonts w:ascii="Arial" w:hAnsi="Arial" w:hint="cs"/>
          <w:noProof w:val="0"/>
          <w:rtl/>
        </w:rPr>
        <w:t xml:space="preserve">זה, כך לדבריה, </w:t>
      </w:r>
      <w:r>
        <w:rPr>
          <w:rFonts w:ascii="Arial" w:hAnsi="Arial"/>
          <w:noProof w:val="0"/>
          <w:rtl/>
        </w:rPr>
        <w:t>מעיד על יכולתו הכלכלית</w:t>
      </w:r>
      <w:r w:rsidR="000C7CC5">
        <w:rPr>
          <w:rFonts w:ascii="Arial" w:hAnsi="Arial" w:hint="cs"/>
          <w:noProof w:val="0"/>
          <w:rtl/>
        </w:rPr>
        <w:t xml:space="preserve">, וכן על העובדה כי </w:t>
      </w:r>
      <w:r>
        <w:rPr>
          <w:rFonts w:ascii="Arial" w:hAnsi="Arial"/>
          <w:noProof w:val="0"/>
          <w:rtl/>
        </w:rPr>
        <w:t>האב ש</w:t>
      </w:r>
      <w:r w:rsidR="000C7CC5">
        <w:rPr>
          <w:rFonts w:ascii="Arial" w:hAnsi="Arial" w:hint="cs"/>
          <w:noProof w:val="0"/>
          <w:rtl/>
        </w:rPr>
        <w:t>י</w:t>
      </w:r>
      <w:r>
        <w:rPr>
          <w:rFonts w:ascii="Arial" w:hAnsi="Arial"/>
          <w:noProof w:val="0"/>
          <w:rtl/>
        </w:rPr>
        <w:t xml:space="preserve">קר בהליך הקודם ביחס לגובה הכנסתו ובית המשפט קבע הכנסה </w:t>
      </w:r>
      <w:r w:rsidR="000C7CC5">
        <w:rPr>
          <w:rFonts w:ascii="Arial" w:hAnsi="Arial" w:hint="cs"/>
          <w:noProof w:val="0"/>
          <w:rtl/>
        </w:rPr>
        <w:t xml:space="preserve">נמוכה מזו שבפועל.   </w:t>
      </w:r>
      <w:r>
        <w:rPr>
          <w:rFonts w:ascii="Arial" w:hAnsi="Arial"/>
          <w:noProof w:val="0"/>
          <w:rtl/>
        </w:rPr>
        <w:t xml:space="preserve">הערעור על פסק הדין שניתן ביום 16.8.2021 לא הוכרע לגופו והסתיים במתן תוקף של פסק דין להסכמת הצדדים. האם עתרה לחתימה על צווי גלוי מסמכי המשכנתא שהאב נטל. </w:t>
      </w:r>
    </w:p>
    <w:p w:rsidR="000B1FB1" w:rsidRDefault="000B1FB1" w:rsidP="000B1FB1">
      <w:pPr>
        <w:numPr>
          <w:ilvl w:val="0"/>
          <w:numId w:val="1"/>
        </w:numPr>
        <w:spacing w:after="160" w:line="360" w:lineRule="auto"/>
        <w:jc w:val="both"/>
        <w:rPr>
          <w:rFonts w:ascii="Arial" w:hAnsi="Arial"/>
          <w:noProof w:val="0"/>
        </w:rPr>
      </w:pPr>
      <w:r>
        <w:rPr>
          <w:rFonts w:ascii="Arial" w:hAnsi="Arial"/>
          <w:noProof w:val="0"/>
          <w:rtl/>
        </w:rPr>
        <w:t>האב הגיש כתב הגנה לדחיית התביעה בצירוף בקשה לסילוק התביעה על סף. נטען להעדר שינוי נסיבות מהותי. בית המשפט המחוזי במסגרת עמ"ש 58949-10-21 נתן תוקף להסכמת הצדדים וכעבור חצי שנה בלבד האם הגישה תביעה להגדלת מוזנות ללא כל בסיס מתאים.</w:t>
      </w:r>
    </w:p>
    <w:p w:rsidR="000B1FB1" w:rsidRDefault="000B1FB1" w:rsidP="0085237C">
      <w:pPr>
        <w:numPr>
          <w:ilvl w:val="0"/>
          <w:numId w:val="1"/>
        </w:numPr>
        <w:spacing w:after="160" w:line="360" w:lineRule="auto"/>
        <w:jc w:val="both"/>
        <w:rPr>
          <w:rFonts w:ascii="Arial" w:hAnsi="Arial"/>
          <w:noProof w:val="0"/>
        </w:rPr>
      </w:pPr>
      <w:r>
        <w:rPr>
          <w:rFonts w:ascii="Arial" w:hAnsi="Arial"/>
          <w:noProof w:val="0"/>
          <w:rtl/>
        </w:rPr>
        <w:t xml:space="preserve">ביום 15.3.2023 התקיים דיון במסגרתו </w:t>
      </w:r>
      <w:r w:rsidR="00B947F0">
        <w:rPr>
          <w:rFonts w:ascii="Arial" w:hAnsi="Arial" w:hint="cs"/>
          <w:noProof w:val="0"/>
          <w:rtl/>
        </w:rPr>
        <w:t xml:space="preserve">נחקרו הצדדים על ידי בית המשפט בחקירות קצרות, </w:t>
      </w:r>
      <w:r>
        <w:rPr>
          <w:rFonts w:ascii="Arial" w:hAnsi="Arial"/>
          <w:noProof w:val="0"/>
          <w:rtl/>
        </w:rPr>
        <w:t xml:space="preserve"> ונשמעו סיכומים בעל</w:t>
      </w:r>
      <w:r w:rsidR="0085237C">
        <w:rPr>
          <w:rFonts w:ascii="Arial" w:hAnsi="Arial" w:hint="cs"/>
          <w:noProof w:val="0"/>
          <w:rtl/>
        </w:rPr>
        <w:t xml:space="preserve"> </w:t>
      </w:r>
      <w:r>
        <w:rPr>
          <w:rFonts w:ascii="Arial" w:hAnsi="Arial"/>
          <w:noProof w:val="0"/>
          <w:rtl/>
        </w:rPr>
        <w:t>פה</w:t>
      </w:r>
      <w:r w:rsidR="00B947F0">
        <w:rPr>
          <w:rFonts w:ascii="Arial" w:hAnsi="Arial" w:hint="cs"/>
          <w:noProof w:val="0"/>
          <w:rtl/>
        </w:rPr>
        <w:t>.</w:t>
      </w:r>
    </w:p>
    <w:p w:rsidR="004F5E89" w:rsidRPr="00B947F0" w:rsidRDefault="004F5E89" w:rsidP="00B947F0">
      <w:pPr>
        <w:spacing w:line="360" w:lineRule="auto"/>
        <w:jc w:val="both"/>
        <w:rPr>
          <w:rFonts w:ascii="Arial" w:hAnsi="Arial"/>
          <w:b/>
          <w:bCs/>
          <w:noProof w:val="0"/>
          <w:u w:val="single"/>
          <w:rtl/>
        </w:rPr>
      </w:pPr>
      <w:r w:rsidRPr="00B947F0">
        <w:rPr>
          <w:rFonts w:ascii="Arial" w:hAnsi="Arial"/>
          <w:b/>
          <w:bCs/>
          <w:noProof w:val="0"/>
          <w:u w:val="single"/>
          <w:rtl/>
        </w:rPr>
        <w:t xml:space="preserve">דיון </w:t>
      </w:r>
    </w:p>
    <w:p w:rsidR="004F5E89" w:rsidRDefault="004F5E89" w:rsidP="00B947F0">
      <w:pPr>
        <w:spacing w:after="160" w:line="254" w:lineRule="auto"/>
        <w:ind w:left="720"/>
        <w:contextualSpacing/>
        <w:rPr>
          <w:lang w:eastAsia="he-IL"/>
        </w:rPr>
      </w:pPr>
    </w:p>
    <w:p w:rsidR="009B62E3" w:rsidRDefault="009B62E3" w:rsidP="009B62E3">
      <w:pPr>
        <w:numPr>
          <w:ilvl w:val="0"/>
          <w:numId w:val="1"/>
        </w:numPr>
        <w:spacing w:after="160" w:line="254" w:lineRule="auto"/>
        <w:contextualSpacing/>
        <w:rPr>
          <w:rtl/>
          <w:lang w:eastAsia="he-IL"/>
        </w:rPr>
      </w:pPr>
      <w:r>
        <w:rPr>
          <w:rtl/>
          <w:lang w:eastAsia="he-IL"/>
        </w:rPr>
        <w:t>תקנות 41- 43 ל</w:t>
      </w:r>
      <w:r>
        <w:rPr>
          <w:b/>
          <w:bCs/>
          <w:rtl/>
          <w:lang w:eastAsia="he-IL"/>
        </w:rPr>
        <w:t>תקנות סדר הדין האזרחי</w:t>
      </w:r>
      <w:r>
        <w:rPr>
          <w:lang w:eastAsia="he-IL"/>
        </w:rPr>
        <w:t xml:space="preserve">, </w:t>
      </w:r>
      <w:r>
        <w:rPr>
          <w:rtl/>
          <w:lang w:eastAsia="he-IL"/>
        </w:rPr>
        <w:t xml:space="preserve">התשע"ט-2018  (להלן:" </w:t>
      </w:r>
      <w:r>
        <w:rPr>
          <w:b/>
          <w:bCs/>
          <w:rtl/>
          <w:lang w:eastAsia="he-IL"/>
        </w:rPr>
        <w:t>התקנות החדשות</w:t>
      </w:r>
      <w:r>
        <w:rPr>
          <w:rtl/>
          <w:lang w:eastAsia="he-IL"/>
        </w:rPr>
        <w:t>") קובעות כדלקמן:</w:t>
      </w:r>
      <w:r>
        <w:rPr>
          <w:b/>
          <w:bCs/>
          <w:lang w:eastAsia="he-IL"/>
        </w:rPr>
        <w:t> </w:t>
      </w:r>
    </w:p>
    <w:p w:rsidR="009B62E3" w:rsidRDefault="009B62E3" w:rsidP="009B62E3">
      <w:pPr>
        <w:spacing w:after="160" w:line="254" w:lineRule="auto"/>
        <w:ind w:left="720"/>
        <w:contextualSpacing/>
        <w:rPr>
          <w:rtl/>
          <w:lang w:eastAsia="he-IL"/>
        </w:rPr>
      </w:pPr>
    </w:p>
    <w:p w:rsidR="009B62E3" w:rsidRDefault="009B62E3" w:rsidP="009B62E3">
      <w:pPr>
        <w:spacing w:after="160" w:line="254" w:lineRule="auto"/>
        <w:ind w:left="720" w:right="851" w:firstLine="923"/>
        <w:contextualSpacing/>
        <w:jc w:val="both"/>
        <w:rPr>
          <w:b/>
          <w:bCs/>
          <w:lang w:eastAsia="he-IL"/>
        </w:rPr>
      </w:pPr>
      <w:r>
        <w:rPr>
          <w:b/>
          <w:bCs/>
          <w:lang w:eastAsia="he-IL"/>
        </w:rPr>
        <w:t xml:space="preserve">" </w:t>
      </w:r>
      <w:r>
        <w:rPr>
          <w:b/>
          <w:bCs/>
          <w:rtl/>
          <w:lang w:eastAsia="he-IL"/>
        </w:rPr>
        <w:t xml:space="preserve"> </w:t>
      </w:r>
      <w:r>
        <w:rPr>
          <w:rFonts w:hint="cs"/>
          <w:b/>
          <w:bCs/>
          <w:rtl/>
          <w:lang w:eastAsia="he-IL"/>
        </w:rPr>
        <w:t xml:space="preserve">מחיקה על הסף </w:t>
      </w:r>
    </w:p>
    <w:p w:rsidR="009B62E3" w:rsidRDefault="009B62E3" w:rsidP="009B62E3">
      <w:pPr>
        <w:spacing w:after="160" w:line="254" w:lineRule="auto"/>
        <w:ind w:left="1643" w:right="851"/>
        <w:contextualSpacing/>
        <w:jc w:val="both"/>
        <w:rPr>
          <w:b/>
          <w:bCs/>
          <w:lang w:eastAsia="he-IL"/>
        </w:rPr>
      </w:pPr>
      <w:r>
        <w:rPr>
          <w:b/>
          <w:bCs/>
          <w:lang w:eastAsia="he-IL"/>
        </w:rPr>
        <w:t>41)</w:t>
      </w:r>
      <w:r>
        <w:rPr>
          <w:b/>
          <w:bCs/>
          <w:rtl/>
          <w:lang w:eastAsia="he-IL"/>
        </w:rPr>
        <w:t>א) בית המשפט רשאי להורות על מחיקת כתב תביעה בכל עת על יסוד אחד מאלה:</w:t>
      </w:r>
    </w:p>
    <w:p w:rsidR="009B62E3" w:rsidRDefault="009B62E3" w:rsidP="009B62E3">
      <w:pPr>
        <w:spacing w:after="160" w:line="254" w:lineRule="auto"/>
        <w:ind w:left="720" w:right="851" w:firstLine="923"/>
        <w:contextualSpacing/>
        <w:jc w:val="both"/>
        <w:rPr>
          <w:b/>
          <w:bCs/>
          <w:lang w:eastAsia="he-IL"/>
        </w:rPr>
      </w:pPr>
      <w:r>
        <w:rPr>
          <w:b/>
          <w:bCs/>
          <w:lang w:eastAsia="he-IL"/>
        </w:rPr>
        <w:t xml:space="preserve">(1) </w:t>
      </w:r>
      <w:r w:rsidR="0085237C">
        <w:rPr>
          <w:b/>
          <w:bCs/>
          <w:rtl/>
          <w:lang w:eastAsia="he-IL"/>
        </w:rPr>
        <w:tab/>
      </w:r>
      <w:r>
        <w:rPr>
          <w:b/>
          <w:bCs/>
          <w:rtl/>
          <w:lang w:eastAsia="he-IL"/>
        </w:rPr>
        <w:t>כתב התביעה אינו מעלה עילת תביעה;</w:t>
      </w:r>
    </w:p>
    <w:p w:rsidR="009B62E3" w:rsidRDefault="009B62E3" w:rsidP="009B62E3">
      <w:pPr>
        <w:spacing w:after="160" w:line="254" w:lineRule="auto"/>
        <w:ind w:left="720" w:right="851" w:firstLine="923"/>
        <w:contextualSpacing/>
        <w:jc w:val="both"/>
        <w:rPr>
          <w:b/>
          <w:bCs/>
          <w:lang w:eastAsia="he-IL"/>
        </w:rPr>
      </w:pPr>
      <w:r>
        <w:rPr>
          <w:b/>
          <w:bCs/>
          <w:lang w:eastAsia="he-IL"/>
        </w:rPr>
        <w:t xml:space="preserve">(2) </w:t>
      </w:r>
      <w:r w:rsidR="0085237C">
        <w:rPr>
          <w:b/>
          <w:bCs/>
          <w:rtl/>
          <w:lang w:eastAsia="he-IL"/>
        </w:rPr>
        <w:tab/>
      </w:r>
      <w:r>
        <w:rPr>
          <w:b/>
          <w:bCs/>
          <w:rtl/>
          <w:lang w:eastAsia="he-IL"/>
        </w:rPr>
        <w:t>מכתב התביעה עולה כי התביעה היא טרדנית או קנטרנית;</w:t>
      </w:r>
    </w:p>
    <w:p w:rsidR="009B62E3" w:rsidRDefault="009B62E3" w:rsidP="0085237C">
      <w:pPr>
        <w:spacing w:after="160" w:line="254" w:lineRule="auto"/>
        <w:ind w:left="2160" w:right="851" w:hanging="517"/>
        <w:contextualSpacing/>
        <w:jc w:val="both"/>
        <w:rPr>
          <w:b/>
          <w:bCs/>
          <w:lang w:eastAsia="he-IL"/>
        </w:rPr>
      </w:pPr>
      <w:r>
        <w:rPr>
          <w:b/>
          <w:bCs/>
          <w:lang w:eastAsia="he-IL"/>
        </w:rPr>
        <w:lastRenderedPageBreak/>
        <w:t xml:space="preserve">(3) </w:t>
      </w:r>
      <w:r w:rsidR="0085237C">
        <w:rPr>
          <w:b/>
          <w:bCs/>
          <w:rtl/>
          <w:lang w:eastAsia="he-IL"/>
        </w:rPr>
        <w:tab/>
      </w:r>
      <w:r>
        <w:rPr>
          <w:b/>
          <w:bCs/>
          <w:rtl/>
          <w:lang w:eastAsia="he-IL"/>
        </w:rPr>
        <w:t>התובע מתמיד באופן שאינו מניח את הדעת, להימנע מלקיים הוראות מתקנות אלה או נמנע מלקיים החלטה או הוראה של בית המשפט.</w:t>
      </w:r>
    </w:p>
    <w:p w:rsidR="009B62E3" w:rsidRDefault="009B62E3" w:rsidP="009B62E3">
      <w:pPr>
        <w:spacing w:after="160" w:line="254" w:lineRule="auto"/>
        <w:ind w:left="1643" w:right="851"/>
        <w:contextualSpacing/>
        <w:jc w:val="both"/>
        <w:rPr>
          <w:b/>
          <w:bCs/>
          <w:lang w:eastAsia="he-IL"/>
        </w:rPr>
      </w:pPr>
      <w:r>
        <w:rPr>
          <w:b/>
          <w:bCs/>
          <w:lang w:eastAsia="he-IL"/>
        </w:rPr>
        <w:t xml:space="preserve">(4) </w:t>
      </w:r>
      <w:r w:rsidR="0085237C">
        <w:rPr>
          <w:b/>
          <w:bCs/>
          <w:rtl/>
          <w:lang w:eastAsia="he-IL"/>
        </w:rPr>
        <w:tab/>
      </w:r>
      <w:r>
        <w:rPr>
          <w:b/>
          <w:bCs/>
          <w:rtl/>
          <w:lang w:eastAsia="he-IL"/>
        </w:rPr>
        <w:t>כל נימוק אחר שלפיו הוא סבור שראוי ונכון למחוק את התביעה.</w:t>
      </w:r>
    </w:p>
    <w:p w:rsidR="009B62E3" w:rsidRDefault="009B62E3" w:rsidP="009B62E3">
      <w:pPr>
        <w:spacing w:after="160" w:line="254" w:lineRule="auto"/>
        <w:ind w:left="720" w:right="851" w:firstLine="923"/>
        <w:contextualSpacing/>
        <w:jc w:val="both"/>
        <w:rPr>
          <w:b/>
          <w:bCs/>
          <w:lang w:eastAsia="he-IL"/>
        </w:rPr>
      </w:pPr>
    </w:p>
    <w:p w:rsidR="009B62E3" w:rsidRDefault="009B62E3" w:rsidP="009B62E3">
      <w:pPr>
        <w:spacing w:after="160" w:line="254" w:lineRule="auto"/>
        <w:ind w:left="720" w:right="851" w:firstLine="923"/>
        <w:contextualSpacing/>
        <w:jc w:val="both"/>
        <w:rPr>
          <w:b/>
          <w:bCs/>
          <w:lang w:eastAsia="he-IL"/>
        </w:rPr>
      </w:pPr>
      <w:r>
        <w:rPr>
          <w:b/>
          <w:bCs/>
          <w:lang w:eastAsia="he-IL"/>
        </w:rPr>
        <w:t>....</w:t>
      </w:r>
    </w:p>
    <w:p w:rsidR="009B62E3" w:rsidRDefault="009B62E3" w:rsidP="009B62E3">
      <w:pPr>
        <w:spacing w:after="160" w:line="254" w:lineRule="auto"/>
        <w:ind w:left="720" w:right="851" w:firstLine="923"/>
        <w:contextualSpacing/>
        <w:jc w:val="both"/>
        <w:rPr>
          <w:b/>
          <w:bCs/>
          <w:lang w:eastAsia="he-IL"/>
        </w:rPr>
      </w:pPr>
    </w:p>
    <w:p w:rsidR="009B62E3" w:rsidRDefault="009B62E3" w:rsidP="009B62E3">
      <w:pPr>
        <w:spacing w:after="160" w:line="254" w:lineRule="auto"/>
        <w:ind w:left="720" w:right="851" w:firstLine="923"/>
        <w:contextualSpacing/>
        <w:jc w:val="both"/>
        <w:rPr>
          <w:b/>
          <w:bCs/>
          <w:lang w:eastAsia="he-IL"/>
        </w:rPr>
      </w:pPr>
      <w:r>
        <w:rPr>
          <w:b/>
          <w:bCs/>
          <w:rtl/>
          <w:lang w:eastAsia="he-IL"/>
        </w:rPr>
        <w:t>מחיקה מחמת שימוש לרעה בהליכי משפט</w:t>
      </w:r>
    </w:p>
    <w:p w:rsidR="009B62E3" w:rsidRDefault="009B62E3" w:rsidP="009B62E3">
      <w:pPr>
        <w:spacing w:after="160" w:line="254" w:lineRule="auto"/>
        <w:ind w:left="720" w:right="851" w:firstLine="923"/>
        <w:contextualSpacing/>
        <w:jc w:val="both"/>
        <w:rPr>
          <w:b/>
          <w:bCs/>
          <w:lang w:eastAsia="he-IL"/>
        </w:rPr>
      </w:pPr>
    </w:p>
    <w:p w:rsidR="009B62E3" w:rsidRDefault="009B62E3" w:rsidP="0085237C">
      <w:pPr>
        <w:spacing w:after="160" w:line="254" w:lineRule="auto"/>
        <w:ind w:left="2160" w:right="851" w:hanging="517"/>
        <w:contextualSpacing/>
        <w:jc w:val="both"/>
        <w:rPr>
          <w:b/>
          <w:bCs/>
          <w:lang w:eastAsia="he-IL"/>
        </w:rPr>
      </w:pPr>
      <w:r>
        <w:rPr>
          <w:b/>
          <w:bCs/>
          <w:rtl/>
          <w:lang w:eastAsia="he-IL"/>
        </w:rPr>
        <w:t>42 . סבר בית המשפט שבעל דין עשה שימוש לרעה בהליכי משפט רשאי הוא, מטעם זה בלבד, למחוק את כתב טענותיו כולו או מקצתו".</w:t>
      </w:r>
    </w:p>
    <w:p w:rsidR="009B62E3" w:rsidRDefault="009B62E3" w:rsidP="009B62E3">
      <w:pPr>
        <w:spacing w:after="160" w:line="254" w:lineRule="auto"/>
        <w:ind w:left="720" w:right="851" w:firstLine="923"/>
        <w:contextualSpacing/>
        <w:jc w:val="both"/>
        <w:rPr>
          <w:b/>
          <w:bCs/>
          <w:lang w:eastAsia="he-IL"/>
        </w:rPr>
      </w:pPr>
    </w:p>
    <w:p w:rsidR="009B62E3" w:rsidRDefault="009B62E3" w:rsidP="009B62E3">
      <w:pPr>
        <w:spacing w:after="160" w:line="254" w:lineRule="auto"/>
        <w:ind w:left="720" w:right="851" w:firstLine="923"/>
        <w:contextualSpacing/>
        <w:jc w:val="both"/>
        <w:rPr>
          <w:b/>
          <w:bCs/>
          <w:rtl/>
          <w:lang w:eastAsia="he-IL"/>
        </w:rPr>
      </w:pPr>
      <w:r>
        <w:rPr>
          <w:b/>
          <w:bCs/>
          <w:rtl/>
          <w:lang w:eastAsia="he-IL"/>
        </w:rPr>
        <w:t>דחיית תביעה במקרים מיוחדים</w:t>
      </w:r>
    </w:p>
    <w:p w:rsidR="009B62E3" w:rsidRDefault="009B62E3" w:rsidP="009B62E3">
      <w:pPr>
        <w:spacing w:after="160" w:line="254" w:lineRule="auto"/>
        <w:ind w:left="720" w:right="851" w:firstLine="923"/>
        <w:contextualSpacing/>
        <w:jc w:val="both"/>
        <w:rPr>
          <w:b/>
          <w:bCs/>
          <w:lang w:eastAsia="he-IL"/>
        </w:rPr>
      </w:pPr>
    </w:p>
    <w:p w:rsidR="009B62E3" w:rsidRDefault="009B62E3" w:rsidP="0085237C">
      <w:pPr>
        <w:spacing w:after="160" w:line="254" w:lineRule="auto"/>
        <w:ind w:left="2160" w:right="851" w:hanging="517"/>
        <w:contextualSpacing/>
        <w:jc w:val="both"/>
        <w:rPr>
          <w:b/>
          <w:bCs/>
          <w:lang w:eastAsia="he-IL"/>
        </w:rPr>
      </w:pPr>
      <w:r>
        <w:rPr>
          <w:b/>
          <w:bCs/>
          <w:rtl/>
          <w:lang w:eastAsia="he-IL"/>
        </w:rPr>
        <w:t>43 . בית המשפט רשאי לדחות תביעה בכל עת בשל קיומו של מעשה בית דין, התיישנות או מכל נימוק אחר, שלפיו הוא סבור כי ראוי ונכון לדחות את התביעה".</w:t>
      </w:r>
    </w:p>
    <w:p w:rsidR="009B62E3" w:rsidRDefault="009B62E3" w:rsidP="009B62E3">
      <w:pPr>
        <w:spacing w:line="360" w:lineRule="auto"/>
        <w:ind w:left="720"/>
        <w:contextualSpacing/>
        <w:rPr>
          <w:rtl/>
          <w:lang w:eastAsia="he-IL"/>
        </w:rPr>
      </w:pPr>
    </w:p>
    <w:p w:rsidR="009B62E3" w:rsidRDefault="009B62E3" w:rsidP="009B62E3">
      <w:pPr>
        <w:numPr>
          <w:ilvl w:val="0"/>
          <w:numId w:val="1"/>
        </w:numPr>
        <w:spacing w:after="160" w:line="360" w:lineRule="auto"/>
        <w:contextualSpacing/>
        <w:rPr>
          <w:rtl/>
          <w:lang w:eastAsia="he-IL"/>
        </w:rPr>
      </w:pPr>
      <w:r>
        <w:rPr>
          <w:rtl/>
          <w:lang w:eastAsia="he-IL"/>
        </w:rPr>
        <w:t>הלכה פסוקה היא כי על בית המשפט לנהוג משנה זהירות ורק במקרים קיצוניים ויוצאי דופן להורות על סילוק על הסף. (ראו: ע"א 2582/09</w:t>
      </w:r>
      <w:r>
        <w:rPr>
          <w:b/>
          <w:bCs/>
          <w:rtl/>
          <w:lang w:eastAsia="he-IL"/>
        </w:rPr>
        <w:t xml:space="preserve"> הדייה גנאים נ' בית החולים רמב"ם (</w:t>
      </w:r>
      <w:r>
        <w:rPr>
          <w:rtl/>
          <w:lang w:eastAsia="he-IL"/>
        </w:rPr>
        <w:t>ניתן ביום 8.8.10))</w:t>
      </w:r>
    </w:p>
    <w:p w:rsidR="009B62E3" w:rsidRDefault="009B62E3" w:rsidP="009B62E3">
      <w:pPr>
        <w:spacing w:line="360" w:lineRule="auto"/>
        <w:ind w:left="720"/>
        <w:contextualSpacing/>
        <w:rPr>
          <w:rtl/>
          <w:lang w:eastAsia="he-IL"/>
        </w:rPr>
      </w:pPr>
    </w:p>
    <w:p w:rsidR="000C7CC5" w:rsidRDefault="009B62E3" w:rsidP="009B62E3">
      <w:pPr>
        <w:numPr>
          <w:ilvl w:val="0"/>
          <w:numId w:val="1"/>
        </w:numPr>
        <w:spacing w:after="160" w:line="360" w:lineRule="auto"/>
        <w:contextualSpacing/>
        <w:jc w:val="both"/>
        <w:rPr>
          <w:lang w:eastAsia="he-IL"/>
        </w:rPr>
      </w:pPr>
      <w:r>
        <w:rPr>
          <w:rtl/>
          <w:lang w:eastAsia="he-IL"/>
        </w:rPr>
        <w:t>מכח מדיניות זו, הרי רק במקרים בהם ניתן לקבוע כי לתובע אין שום סיכוי לזכות בסעד המבוקש על ידו, תסולק התביעה על הסף. מהאמור עולה כי מדובר במקרים חריגים ויוצאי דופן, שרק בהם יעשה בית המשפט שימוש בסמכותו ויורה על סילוק התביעה על הסף. אם יתברר בסופו של דבר כי לא היה מקום להגשת התביעה, ניתן לפצות על כך בהשתת הוצאות מתאימות</w:t>
      </w:r>
      <w:r>
        <w:rPr>
          <w:lang w:eastAsia="he-IL"/>
        </w:rPr>
        <w:t>)</w:t>
      </w:r>
      <w:r>
        <w:rPr>
          <w:rtl/>
          <w:lang w:eastAsia="he-IL"/>
        </w:rPr>
        <w:t>ראו</w:t>
      </w:r>
      <w:r>
        <w:rPr>
          <w:b/>
          <w:bCs/>
          <w:rtl/>
          <w:lang w:eastAsia="he-IL"/>
        </w:rPr>
        <w:t xml:space="preserve">: </w:t>
      </w:r>
      <w:r>
        <w:rPr>
          <w:rtl/>
          <w:lang w:eastAsia="he-IL"/>
        </w:rPr>
        <w:t>ע"א 5634/05</w:t>
      </w:r>
      <w:r>
        <w:rPr>
          <w:b/>
          <w:bCs/>
          <w:rtl/>
          <w:lang w:eastAsia="he-IL"/>
        </w:rPr>
        <w:t xml:space="preserve"> צוקית הכרמל פרוייקטים בע"מ נ' מיכה צח חברה לקבלנות כללית בע"מ (</w:t>
      </w:r>
      <w:r>
        <w:rPr>
          <w:rtl/>
          <w:lang w:eastAsia="he-IL"/>
        </w:rPr>
        <w:t>ניתן ביום 4.6.07</w:t>
      </w:r>
      <w:r w:rsidR="000C7CC5">
        <w:rPr>
          <w:rFonts w:hint="cs"/>
          <w:rtl/>
          <w:lang w:eastAsia="he-IL"/>
        </w:rPr>
        <w:t>)</w:t>
      </w:r>
    </w:p>
    <w:p w:rsidR="000C7CC5" w:rsidRDefault="000C7CC5" w:rsidP="000C7CC5">
      <w:pPr>
        <w:pStyle w:val="ad"/>
        <w:rPr>
          <w:lang w:eastAsia="he-IL"/>
        </w:rPr>
      </w:pPr>
    </w:p>
    <w:p w:rsidR="009B62E3" w:rsidRDefault="009B62E3" w:rsidP="009B62E3">
      <w:pPr>
        <w:numPr>
          <w:ilvl w:val="0"/>
          <w:numId w:val="1"/>
        </w:numPr>
        <w:spacing w:after="160" w:line="360" w:lineRule="auto"/>
        <w:contextualSpacing/>
        <w:jc w:val="both"/>
        <w:rPr>
          <w:lang w:eastAsia="he-IL"/>
        </w:rPr>
      </w:pPr>
      <w:r>
        <w:rPr>
          <w:rFonts w:hint="cs"/>
          <w:rtl/>
          <w:lang w:eastAsia="he-IL"/>
        </w:rPr>
        <w:t xml:space="preserve">עם זאת, התקנות הנ"ל </w:t>
      </w:r>
      <w:r>
        <w:rPr>
          <w:rFonts w:hint="cs"/>
          <w:b/>
          <w:bCs/>
          <w:rtl/>
          <w:lang w:eastAsia="he-IL"/>
        </w:rPr>
        <w:t xml:space="preserve">לא באו לעולם לשווא, </w:t>
      </w:r>
      <w:r>
        <w:rPr>
          <w:rFonts w:hint="cs"/>
          <w:rtl/>
          <w:lang w:eastAsia="he-IL"/>
        </w:rPr>
        <w:t>אלא כמקור לסלק מעל דרכו של בית המשפט הליכים שניכר וברור לגביהם, כי גם אם יתבררו עד תום, עדיין לא יהיה בכך כדי להצדיק מתן הסעד המבוקש</w:t>
      </w:r>
      <w:r>
        <w:rPr>
          <w:lang w:eastAsia="he-IL"/>
        </w:rPr>
        <w:t xml:space="preserve">) </w:t>
      </w:r>
      <w:r>
        <w:rPr>
          <w:rtl/>
          <w:lang w:eastAsia="he-IL"/>
        </w:rPr>
        <w:t>ראו:</w:t>
      </w:r>
      <w:r>
        <w:rPr>
          <w:b/>
          <w:bCs/>
          <w:rtl/>
          <w:lang w:eastAsia="he-IL"/>
        </w:rPr>
        <w:t xml:space="preserve"> </w:t>
      </w:r>
      <w:r>
        <w:rPr>
          <w:rtl/>
          <w:lang w:eastAsia="he-IL"/>
        </w:rPr>
        <w:t>ע"א 455/06</w:t>
      </w:r>
      <w:r>
        <w:rPr>
          <w:b/>
          <w:bCs/>
          <w:rtl/>
          <w:lang w:eastAsia="he-IL"/>
        </w:rPr>
        <w:t xml:space="preserve"> חלקה 21 בגוש 6539 בע"מ נ' עירית הרצליה </w:t>
      </w:r>
      <w:r>
        <w:rPr>
          <w:rtl/>
          <w:lang w:eastAsia="he-IL"/>
        </w:rPr>
        <w:t>(ניתן ביום 11.6.09). בנוסף לאמור הוראות תקנה 41, 43 שהובאו לעיל, במסגרתן, רשאי בית המשפט להורות על סילוק כתב התביעה </w:t>
      </w:r>
      <w:r>
        <w:rPr>
          <w:b/>
          <w:bCs/>
          <w:lang w:eastAsia="he-IL"/>
        </w:rPr>
        <w:t>"</w:t>
      </w:r>
      <w:r>
        <w:rPr>
          <w:b/>
          <w:bCs/>
          <w:rtl/>
          <w:lang w:eastAsia="he-IL"/>
        </w:rPr>
        <w:t>מכל נימוק אחר שלפיו הוא סבור שראוי ונכון למחוק את התביעה</w:t>
      </w:r>
      <w:r>
        <w:rPr>
          <w:rtl/>
          <w:lang w:eastAsia="he-IL"/>
        </w:rPr>
        <w:t>". עוד, עיון בתקנה 5 לתקנות החדשות, מעלה אודות חובתו של בית המשפט לאזן בין האינטרס של בעלי הדין בפניו, לבין האינטרס הציבורי.</w:t>
      </w:r>
    </w:p>
    <w:p w:rsidR="009B62E3" w:rsidRDefault="009B62E3" w:rsidP="009B62E3">
      <w:pPr>
        <w:spacing w:after="160" w:line="254" w:lineRule="auto"/>
        <w:rPr>
          <w:lang w:eastAsia="he-IL"/>
        </w:rPr>
      </w:pPr>
    </w:p>
    <w:p w:rsidR="009B62E3" w:rsidRDefault="009B62E3" w:rsidP="00B947F0">
      <w:pPr>
        <w:numPr>
          <w:ilvl w:val="0"/>
          <w:numId w:val="1"/>
        </w:numPr>
        <w:spacing w:after="160" w:line="360" w:lineRule="auto"/>
        <w:contextualSpacing/>
        <w:jc w:val="both"/>
        <w:rPr>
          <w:lang w:eastAsia="he-IL"/>
        </w:rPr>
      </w:pPr>
      <w:r>
        <w:rPr>
          <w:rtl/>
          <w:lang w:eastAsia="he-IL"/>
        </w:rPr>
        <w:lastRenderedPageBreak/>
        <w:t>ידוע, כי פסק דין למזונות אינו מהווה מעשה בי-דין. בית המשפט העל</w:t>
      </w:r>
      <w:r w:rsidR="00B947F0">
        <w:rPr>
          <w:rFonts w:hint="cs"/>
          <w:rtl/>
          <w:lang w:eastAsia="he-IL"/>
        </w:rPr>
        <w:t>י</w:t>
      </w:r>
      <w:r>
        <w:rPr>
          <w:rtl/>
          <w:lang w:eastAsia="he-IL"/>
        </w:rPr>
        <w:t xml:space="preserve">ון חדד, כי הדרישה בדבר </w:t>
      </w:r>
      <w:r>
        <w:rPr>
          <w:b/>
          <w:bCs/>
          <w:rtl/>
          <w:lang w:eastAsia="he-IL"/>
        </w:rPr>
        <w:t>שינוי הנסיבות המהותי</w:t>
      </w:r>
      <w:r>
        <w:rPr>
          <w:rtl/>
          <w:lang w:eastAsia="he-IL"/>
        </w:rPr>
        <w:t xml:space="preserve"> בתביעות לשינוי גובה המזונות חלה הן כאשר החיוב נקבע בפסק דין שניתן לאחר הליך משפטי, הן כאשר מקור החיוב הינו בפסק דין שנתן תוקף להסכם גירושין כולל והן כאשר מדובר בפסק דין שאישר הסכם שעניינו מזונות בלבד. אין בבע"מ 919/15 כדי לשנות מהלכה זו ויש להידרש לתנאי בדבר שינוי מהותי בנסיבות בשלושת המקרים באופן דומה. עוד נקבע כי ככל שהתקיים שינוי נסיבות מהותי המצדיק את פתיחת תיק המזונות, על בית המשפט הדן בעניין לשקול </w:t>
      </w:r>
      <w:r>
        <w:rPr>
          <w:b/>
          <w:bCs/>
          <w:rtl/>
          <w:lang w:eastAsia="he-IL"/>
        </w:rPr>
        <w:t>בזהירות ובקפדנות</w:t>
      </w:r>
      <w:r>
        <w:rPr>
          <w:rtl/>
          <w:lang w:eastAsia="he-IL"/>
        </w:rPr>
        <w:t xml:space="preserve"> את השפעת השינוי המהות</w:t>
      </w:r>
      <w:bookmarkStart w:id="1" w:name="_Hlk62115826"/>
      <w:r>
        <w:rPr>
          <w:rtl/>
          <w:lang w:eastAsia="he-IL"/>
        </w:rPr>
        <w:t xml:space="preserve">י ביחס לסכום המזונות שנקבע בעבר ( ראו: בע"מ 7670/18 </w:t>
      </w:r>
      <w:r>
        <w:rPr>
          <w:b/>
          <w:bCs/>
          <w:rtl/>
          <w:lang w:eastAsia="he-IL"/>
        </w:rPr>
        <w:t>פלונית נ' פלוני,</w:t>
      </w:r>
      <w:r>
        <w:rPr>
          <w:rtl/>
          <w:lang w:eastAsia="he-IL"/>
        </w:rPr>
        <w:t xml:space="preserve"> מיום 20.1.21).</w:t>
      </w:r>
      <w:bookmarkEnd w:id="1"/>
      <w:r>
        <w:rPr>
          <w:rtl/>
          <w:lang w:eastAsia="he-IL"/>
        </w:rPr>
        <w:t xml:space="preserve">כאמור לעיל הפסיקה לפני הבע"מ 919/15 עודנה רלוונטית, תביעה להפחתת מזונות אינה נדונה כתביעה חדשה של הקטין למזונותיו, אלא יש להוכיח שינוי נסיבות מהותי בין שני מועדים – בענייננו אישור הסכמת הצדדים והגשת התובענה. (ראו: ע"א 381/86 </w:t>
      </w:r>
      <w:r>
        <w:rPr>
          <w:b/>
          <w:bCs/>
          <w:rtl/>
          <w:lang w:eastAsia="he-IL"/>
        </w:rPr>
        <w:t>אבין נ' אבין</w:t>
      </w:r>
      <w:r>
        <w:rPr>
          <w:rtl/>
          <w:lang w:eastAsia="he-IL"/>
        </w:rPr>
        <w:t xml:space="preserve"> (31.12.86); ע"א 88/94 </w:t>
      </w:r>
      <w:r>
        <w:rPr>
          <w:b/>
          <w:bCs/>
          <w:rtl/>
          <w:lang w:eastAsia="he-IL"/>
        </w:rPr>
        <w:t>קטן נ' קטן</w:t>
      </w:r>
      <w:r>
        <w:rPr>
          <w:rtl/>
          <w:lang w:eastAsia="he-IL"/>
        </w:rPr>
        <w:t>, פ"ד מט(1) 215)).  מקום שמתרחש שינוי נסיבות מהותי ניתן לעיין בפסק הדין מחדש.</w:t>
      </w:r>
    </w:p>
    <w:p w:rsidR="009B62E3" w:rsidRDefault="009B62E3" w:rsidP="009B62E3">
      <w:pPr>
        <w:spacing w:after="160" w:line="254" w:lineRule="auto"/>
        <w:ind w:left="720"/>
        <w:contextualSpacing/>
        <w:rPr>
          <w:rtl/>
          <w:lang w:eastAsia="he-IL"/>
        </w:rPr>
      </w:pPr>
    </w:p>
    <w:p w:rsidR="009B62E3" w:rsidRPr="00B947F0" w:rsidRDefault="009B62E3" w:rsidP="009B62E3">
      <w:pPr>
        <w:spacing w:line="360" w:lineRule="auto"/>
        <w:jc w:val="both"/>
        <w:rPr>
          <w:b/>
          <w:bCs/>
          <w:u w:val="single"/>
          <w:lang w:eastAsia="he-IL"/>
        </w:rPr>
      </w:pPr>
      <w:r w:rsidRPr="00B947F0">
        <w:rPr>
          <w:b/>
          <w:bCs/>
          <w:u w:val="single"/>
          <w:rtl/>
          <w:lang w:eastAsia="he-IL"/>
        </w:rPr>
        <w:t>הכרעה:</w:t>
      </w:r>
    </w:p>
    <w:p w:rsidR="009B62E3" w:rsidRDefault="009B62E3" w:rsidP="009B62E3">
      <w:pPr>
        <w:spacing w:after="160" w:line="254" w:lineRule="auto"/>
        <w:ind w:left="720"/>
        <w:contextualSpacing/>
        <w:rPr>
          <w:b/>
          <w:bCs/>
          <w:rtl/>
          <w:lang w:eastAsia="he-IL"/>
        </w:rPr>
      </w:pPr>
    </w:p>
    <w:p w:rsidR="009B62E3" w:rsidRDefault="009B62E3" w:rsidP="009B62E3">
      <w:pPr>
        <w:numPr>
          <w:ilvl w:val="0"/>
          <w:numId w:val="1"/>
        </w:numPr>
        <w:spacing w:after="160" w:line="360" w:lineRule="auto"/>
        <w:contextualSpacing/>
        <w:jc w:val="both"/>
        <w:rPr>
          <w:lang w:eastAsia="he-IL"/>
        </w:rPr>
      </w:pPr>
      <w:r>
        <w:rPr>
          <w:b/>
          <w:bCs/>
          <w:rtl/>
          <w:lang w:eastAsia="he-IL"/>
        </w:rPr>
        <w:t xml:space="preserve">לאחר עיון בכתבי הטענות בבקשה ובכל החומר המצוי בתיק ובתיקים הקשורים, בפרוטוקול הדיון מיום </w:t>
      </w:r>
      <w:r>
        <w:rPr>
          <w:b/>
          <w:bCs/>
          <w:lang w:eastAsia="he-IL"/>
        </w:rPr>
        <w:t>15.3.2023</w:t>
      </w:r>
      <w:r>
        <w:rPr>
          <w:b/>
          <w:bCs/>
          <w:rtl/>
          <w:lang w:eastAsia="he-IL"/>
        </w:rPr>
        <w:t xml:space="preserve"> ובפסק הדין שניתן בעמ"ש</w:t>
      </w:r>
      <w:r>
        <w:rPr>
          <w:rtl/>
          <w:lang w:eastAsia="he-IL"/>
        </w:rPr>
        <w:t xml:space="preserve"> 58949-10-21 </w:t>
      </w:r>
      <w:r>
        <w:rPr>
          <w:b/>
          <w:bCs/>
          <w:rtl/>
          <w:lang w:eastAsia="he-IL"/>
        </w:rPr>
        <w:t>, הגעתי לכלל מסקנה כי  דין הבקשה להתקבל, ויש להורות על סילוק התביעה על הסף</w:t>
      </w:r>
      <w:r>
        <w:rPr>
          <w:b/>
          <w:bCs/>
          <w:lang w:eastAsia="he-IL"/>
        </w:rPr>
        <w:t>.</w:t>
      </w:r>
    </w:p>
    <w:p w:rsidR="009B62E3" w:rsidRDefault="009B62E3" w:rsidP="009B62E3">
      <w:pPr>
        <w:spacing w:line="360" w:lineRule="auto"/>
        <w:ind w:left="720"/>
        <w:contextualSpacing/>
        <w:jc w:val="both"/>
        <w:rPr>
          <w:rtl/>
          <w:lang w:eastAsia="he-IL"/>
        </w:rPr>
      </w:pPr>
    </w:p>
    <w:p w:rsidR="000C7CC5" w:rsidRPr="000C7CC5" w:rsidRDefault="000C7CC5" w:rsidP="000C7CC5">
      <w:pPr>
        <w:numPr>
          <w:ilvl w:val="0"/>
          <w:numId w:val="1"/>
        </w:numPr>
        <w:spacing w:after="160" w:line="360" w:lineRule="auto"/>
        <w:contextualSpacing/>
        <w:jc w:val="both"/>
        <w:rPr>
          <w:lang w:eastAsia="he-IL"/>
        </w:rPr>
      </w:pPr>
      <w:r>
        <w:rPr>
          <w:rFonts w:ascii="David" w:hAnsi="David" w:hint="cs"/>
          <w:rtl/>
          <w:lang w:eastAsia="he-IL"/>
        </w:rPr>
        <w:t xml:space="preserve">כאמור לעיל, עיניינם של הצדדים נבחן היטב על ידי בית המשפט למשפחה, נשמעו עדים הצדדים נחקרו לעומק, ונקבעו ממצאים. במסגרת הליך הערעור, </w:t>
      </w:r>
      <w:r w:rsidR="009B62E3">
        <w:rPr>
          <w:rFonts w:ascii="David" w:hAnsi="David"/>
          <w:rtl/>
          <w:lang w:eastAsia="he-IL"/>
        </w:rPr>
        <w:t>ה</w:t>
      </w:r>
      <w:r>
        <w:rPr>
          <w:rFonts w:ascii="David" w:hAnsi="David" w:hint="cs"/>
          <w:rtl/>
          <w:lang w:eastAsia="he-IL"/>
        </w:rPr>
        <w:t xml:space="preserve">גיעו הצדדים להסכמה, אשר </w:t>
      </w:r>
      <w:r w:rsidR="009B62E3">
        <w:rPr>
          <w:rFonts w:ascii="David" w:hAnsi="David"/>
          <w:rtl/>
          <w:lang w:eastAsia="he-IL"/>
        </w:rPr>
        <w:t>אושר</w:t>
      </w:r>
      <w:r>
        <w:rPr>
          <w:rFonts w:ascii="David" w:hAnsi="David" w:hint="cs"/>
          <w:rtl/>
          <w:lang w:eastAsia="he-IL"/>
        </w:rPr>
        <w:t xml:space="preserve">ה </w:t>
      </w:r>
      <w:r w:rsidR="009B62E3">
        <w:rPr>
          <w:rFonts w:ascii="David" w:hAnsi="David"/>
          <w:rtl/>
          <w:lang w:eastAsia="he-IL"/>
        </w:rPr>
        <w:t>וקבל</w:t>
      </w:r>
      <w:r>
        <w:rPr>
          <w:rFonts w:ascii="David" w:hAnsi="David" w:hint="cs"/>
          <w:rtl/>
          <w:lang w:eastAsia="he-IL"/>
        </w:rPr>
        <w:t xml:space="preserve">ה </w:t>
      </w:r>
      <w:r w:rsidR="009B62E3">
        <w:rPr>
          <w:rFonts w:ascii="David" w:hAnsi="David"/>
          <w:rtl/>
          <w:lang w:eastAsia="he-IL"/>
        </w:rPr>
        <w:t>תוקף של פסק דין</w:t>
      </w:r>
      <w:r>
        <w:rPr>
          <w:rFonts w:ascii="David" w:hAnsi="David" w:hint="cs"/>
          <w:rtl/>
          <w:lang w:eastAsia="he-IL"/>
        </w:rPr>
        <w:t>.</w:t>
      </w:r>
    </w:p>
    <w:p w:rsidR="009B62E3" w:rsidRDefault="009B62E3" w:rsidP="009B62E3">
      <w:pPr>
        <w:spacing w:line="360" w:lineRule="auto"/>
        <w:ind w:left="720"/>
        <w:contextualSpacing/>
        <w:jc w:val="both"/>
        <w:rPr>
          <w:rFonts w:ascii="David" w:hAnsi="David"/>
          <w:b/>
          <w:bCs/>
          <w:u w:val="single"/>
          <w:lang w:eastAsia="he-IL"/>
        </w:rPr>
      </w:pPr>
    </w:p>
    <w:p w:rsidR="00B947F0" w:rsidRDefault="009B62E3" w:rsidP="009B62E3">
      <w:pPr>
        <w:numPr>
          <w:ilvl w:val="0"/>
          <w:numId w:val="1"/>
        </w:numPr>
        <w:spacing w:after="160" w:line="360" w:lineRule="auto"/>
        <w:contextualSpacing/>
        <w:jc w:val="both"/>
        <w:rPr>
          <w:rFonts w:ascii="David" w:hAnsi="David"/>
          <w:lang w:eastAsia="he-IL"/>
        </w:rPr>
      </w:pPr>
      <w:r>
        <w:rPr>
          <w:rFonts w:ascii="David" w:hAnsi="David"/>
          <w:b/>
          <w:bCs/>
          <w:u w:val="single"/>
          <w:rtl/>
          <w:lang w:eastAsia="he-IL"/>
        </w:rPr>
        <w:t>הנושאים המרכזיים בהם לרוב נבחן שינוי נסיבות הם</w:t>
      </w:r>
      <w:r>
        <w:rPr>
          <w:rFonts w:ascii="David" w:hAnsi="David"/>
          <w:rtl/>
          <w:lang w:eastAsia="he-IL"/>
        </w:rPr>
        <w:t xml:space="preserve">: השתכרות ההורים ומצבם הכלכלי; מצבם הבריאותי והמשפחתי של ההורים; צרכי הקטינים; שינוי במשמורת או בהסדרי שהות; או נסיבות קשות וחריגות שנוצרו לאחר מתן פסק הדין, כגון סרבנות קשר של ילדים אחד ההורים. </w:t>
      </w:r>
    </w:p>
    <w:p w:rsidR="00B947F0" w:rsidRDefault="00B947F0" w:rsidP="00B947F0">
      <w:pPr>
        <w:pStyle w:val="ad"/>
        <w:rPr>
          <w:rFonts w:ascii="David" w:hAnsi="David"/>
          <w:rtl/>
          <w:lang w:eastAsia="he-IL"/>
        </w:rPr>
      </w:pPr>
    </w:p>
    <w:p w:rsidR="00B947F0" w:rsidRDefault="009B62E3" w:rsidP="00B947F0">
      <w:pPr>
        <w:numPr>
          <w:ilvl w:val="0"/>
          <w:numId w:val="1"/>
        </w:numPr>
        <w:spacing w:after="160" w:line="360" w:lineRule="auto"/>
        <w:contextualSpacing/>
        <w:jc w:val="both"/>
        <w:rPr>
          <w:rFonts w:ascii="David" w:hAnsi="David"/>
          <w:lang w:eastAsia="he-IL"/>
        </w:rPr>
      </w:pPr>
      <w:r>
        <w:rPr>
          <w:rFonts w:ascii="David" w:hAnsi="David"/>
          <w:rtl/>
          <w:lang w:eastAsia="he-IL"/>
        </w:rPr>
        <w:t>לא מצאתי כי עלה בידי האם להצביע, ולו על ראשית ראיה, לכך כי יש מק</w:t>
      </w:r>
      <w:r w:rsidR="00B947F0">
        <w:rPr>
          <w:rFonts w:ascii="David" w:hAnsi="David"/>
          <w:rtl/>
          <w:lang w:eastAsia="he-IL"/>
        </w:rPr>
        <w:t>ום להורות שינוי הוראות פסק הדין</w:t>
      </w:r>
      <w:r w:rsidR="00B947F0">
        <w:rPr>
          <w:rFonts w:ascii="David" w:hAnsi="David" w:hint="cs"/>
          <w:rtl/>
          <w:lang w:eastAsia="he-IL"/>
        </w:rPr>
        <w:t xml:space="preserve">, </w:t>
      </w:r>
      <w:r>
        <w:rPr>
          <w:rFonts w:ascii="David" w:hAnsi="David"/>
          <w:rtl/>
          <w:lang w:eastAsia="he-IL"/>
        </w:rPr>
        <w:t>שניתן בהסכמה</w:t>
      </w:r>
      <w:r w:rsidR="00B947F0">
        <w:rPr>
          <w:rFonts w:ascii="David" w:hAnsi="David" w:hint="cs"/>
          <w:rtl/>
          <w:lang w:eastAsia="he-IL"/>
        </w:rPr>
        <w:t>,</w:t>
      </w:r>
      <w:r>
        <w:rPr>
          <w:rFonts w:ascii="David" w:hAnsi="David"/>
          <w:rtl/>
          <w:lang w:eastAsia="he-IL"/>
        </w:rPr>
        <w:t xml:space="preserve"> ועל הגדלת דמי המזונות שנקבעו בין הצדדים, לפני כשנה וחצי בלבד מהיום, ופחות מחצי שנה מיום הגשת כתב התביעה עסקינן</w:t>
      </w:r>
      <w:r>
        <w:rPr>
          <w:rFonts w:ascii="David" w:hAnsi="David"/>
          <w:b/>
          <w:bCs/>
          <w:u w:val="single"/>
          <w:rtl/>
          <w:lang w:eastAsia="he-IL"/>
        </w:rPr>
        <w:t>.</w:t>
      </w:r>
    </w:p>
    <w:p w:rsidR="00B947F0" w:rsidRDefault="00B947F0" w:rsidP="00B947F0">
      <w:pPr>
        <w:pStyle w:val="ad"/>
        <w:rPr>
          <w:b/>
          <w:bCs/>
          <w:u w:val="single"/>
          <w:rtl/>
          <w:lang w:eastAsia="he-IL"/>
        </w:rPr>
      </w:pPr>
    </w:p>
    <w:p w:rsidR="00B947F0" w:rsidRDefault="009B62E3" w:rsidP="00B947F0">
      <w:pPr>
        <w:numPr>
          <w:ilvl w:val="0"/>
          <w:numId w:val="1"/>
        </w:numPr>
        <w:spacing w:after="160" w:line="360" w:lineRule="auto"/>
        <w:contextualSpacing/>
        <w:jc w:val="both"/>
        <w:rPr>
          <w:rFonts w:ascii="David" w:hAnsi="David"/>
          <w:lang w:eastAsia="he-IL"/>
        </w:rPr>
      </w:pPr>
      <w:r w:rsidRPr="00B947F0">
        <w:rPr>
          <w:b/>
          <w:bCs/>
          <w:u w:val="single"/>
          <w:rtl/>
          <w:lang w:eastAsia="he-IL"/>
        </w:rPr>
        <w:lastRenderedPageBreak/>
        <w:t>שינויים במצבו ה</w:t>
      </w:r>
      <w:r w:rsidR="00B947F0">
        <w:rPr>
          <w:b/>
          <w:bCs/>
          <w:u w:val="single"/>
          <w:rtl/>
          <w:lang w:eastAsia="he-IL"/>
        </w:rPr>
        <w:t xml:space="preserve">כלכלי של האב </w:t>
      </w:r>
      <w:r w:rsidR="00B947F0">
        <w:rPr>
          <w:rFonts w:hint="cs"/>
          <w:b/>
          <w:bCs/>
          <w:u w:val="single"/>
          <w:rtl/>
          <w:lang w:eastAsia="he-IL"/>
        </w:rPr>
        <w:t xml:space="preserve"> - </w:t>
      </w:r>
      <w:r w:rsidRPr="00B947F0">
        <w:rPr>
          <w:rFonts w:ascii="David" w:hAnsi="David"/>
          <w:rtl/>
          <w:lang w:eastAsia="he-IL"/>
        </w:rPr>
        <w:t xml:space="preserve">הטענה לפיה האב </w:t>
      </w:r>
      <w:r w:rsidRPr="00B947F0">
        <w:rPr>
          <w:rFonts w:ascii="David" w:eastAsia="Calibri" w:hAnsi="David"/>
          <w:noProof w:val="0"/>
          <w:rtl/>
        </w:rPr>
        <w:t xml:space="preserve">מנסה להפחית את הכנסתו בצורה מלאכותית ומסתיר את הכנסתו האמתית, נשמעה לפני המותב הקודם והוכרעה בגלגול הראשון, כאשר בית המשפט קבל </w:t>
      </w:r>
      <w:r w:rsidRPr="00B947F0">
        <w:rPr>
          <w:rFonts w:ascii="David" w:hAnsi="David"/>
          <w:rtl/>
          <w:lang w:eastAsia="he-IL"/>
        </w:rPr>
        <w:t xml:space="preserve">חלקית את טענת האם.  בענייננו, לא נטען במפורש, כי חל שינוי משמעותי בהכנסות האב, האם מנסה להתלות את תביעתה על גובה הסכום שעתר לו האב בבקשתו להחזרת דמי המשכנתא, נתון שלא ניתן להתבסס עליו באופן בלעדי. </w:t>
      </w:r>
      <w:r w:rsidR="00B947F0">
        <w:rPr>
          <w:rFonts w:ascii="David" w:hAnsi="David" w:hint="cs"/>
          <w:rtl/>
          <w:lang w:eastAsia="he-IL"/>
        </w:rPr>
        <w:t xml:space="preserve"> </w:t>
      </w:r>
    </w:p>
    <w:p w:rsidR="00B947F0" w:rsidRDefault="00B947F0" w:rsidP="00B947F0">
      <w:pPr>
        <w:pStyle w:val="ad"/>
        <w:rPr>
          <w:rFonts w:ascii="David" w:hAnsi="David"/>
          <w:rtl/>
          <w:lang w:eastAsia="he-IL"/>
        </w:rPr>
      </w:pPr>
    </w:p>
    <w:p w:rsidR="00B947F0" w:rsidRDefault="00B947F0" w:rsidP="00ED3117">
      <w:pPr>
        <w:numPr>
          <w:ilvl w:val="0"/>
          <w:numId w:val="1"/>
        </w:numPr>
        <w:spacing w:after="160" w:line="360" w:lineRule="auto"/>
        <w:contextualSpacing/>
        <w:jc w:val="both"/>
        <w:rPr>
          <w:rFonts w:ascii="David" w:hAnsi="David"/>
          <w:lang w:eastAsia="he-IL"/>
        </w:rPr>
      </w:pPr>
      <w:r>
        <w:rPr>
          <w:rFonts w:ascii="David" w:hAnsi="David" w:hint="cs"/>
          <w:rtl/>
          <w:lang w:eastAsia="he-IL"/>
        </w:rPr>
        <w:t xml:space="preserve">בכל הכבוד, אין בידי לקבל </w:t>
      </w:r>
      <w:r w:rsidR="00537783">
        <w:rPr>
          <w:rFonts w:ascii="David" w:hAnsi="David" w:hint="cs"/>
          <w:rtl/>
          <w:lang w:eastAsia="he-IL"/>
        </w:rPr>
        <w:t xml:space="preserve">את הטענה </w:t>
      </w:r>
      <w:r w:rsidR="00ED3117">
        <w:rPr>
          <w:rFonts w:ascii="David" w:hAnsi="David" w:hint="cs"/>
          <w:rtl/>
          <w:lang w:eastAsia="he-IL"/>
        </w:rPr>
        <w:t xml:space="preserve">לפיה, </w:t>
      </w:r>
      <w:r w:rsidR="00537783">
        <w:rPr>
          <w:rFonts w:ascii="David" w:hAnsi="David" w:hint="cs"/>
          <w:rtl/>
          <w:lang w:eastAsia="he-IL"/>
        </w:rPr>
        <w:t xml:space="preserve"> מעצם העובדה כי האב רכש דירה,  גם אם מדובר בדירה יקרה, </w:t>
      </w:r>
      <w:r w:rsidR="00ED3117">
        <w:rPr>
          <w:rFonts w:ascii="David" w:hAnsi="David" w:hint="cs"/>
          <w:rtl/>
          <w:lang w:eastAsia="he-IL"/>
        </w:rPr>
        <w:t>ו</w:t>
      </w:r>
      <w:r w:rsidR="00537783">
        <w:rPr>
          <w:rFonts w:ascii="David" w:hAnsi="David" w:hint="cs"/>
          <w:rtl/>
          <w:lang w:eastAsia="he-IL"/>
        </w:rPr>
        <w:t xml:space="preserve">לצורך רכישתה נטל הלוואה בסכומים גבוהים,  ניתן להסיק </w:t>
      </w:r>
      <w:r w:rsidR="00ED3117">
        <w:rPr>
          <w:rFonts w:ascii="David" w:hAnsi="David" w:hint="cs"/>
          <w:rtl/>
          <w:lang w:eastAsia="he-IL"/>
        </w:rPr>
        <w:t>את ה</w:t>
      </w:r>
      <w:r w:rsidR="00537783">
        <w:rPr>
          <w:rFonts w:ascii="David" w:hAnsi="David" w:hint="cs"/>
          <w:rtl/>
          <w:lang w:eastAsia="he-IL"/>
        </w:rPr>
        <w:t xml:space="preserve">מסקנה כי הכנסותיו שונות מאלו שהיו במועד פסק הדין, קל וחומר שלא ניתן להסיק אודות שינוי נסיבות מהותי כנדרש ע"פ הפסיקה.  מדובר בהשערות </w:t>
      </w:r>
      <w:r w:rsidR="00ED3117">
        <w:rPr>
          <w:rFonts w:ascii="David" w:hAnsi="David" w:hint="cs"/>
          <w:rtl/>
          <w:lang w:eastAsia="he-IL"/>
        </w:rPr>
        <w:t>וניחושים בעלמא</w:t>
      </w:r>
      <w:r w:rsidR="00537783">
        <w:rPr>
          <w:rFonts w:ascii="David" w:hAnsi="David" w:hint="cs"/>
          <w:rtl/>
          <w:lang w:eastAsia="he-IL"/>
        </w:rPr>
        <w:t xml:space="preserve">, ללא כל יסוד ובסיס.  </w:t>
      </w:r>
    </w:p>
    <w:p w:rsidR="00B947F0" w:rsidRDefault="00B947F0" w:rsidP="00B947F0">
      <w:pPr>
        <w:pStyle w:val="ad"/>
        <w:rPr>
          <w:rFonts w:ascii="David" w:hAnsi="David"/>
          <w:b/>
          <w:bCs/>
          <w:u w:val="single"/>
          <w:rtl/>
          <w:lang w:eastAsia="he-IL"/>
        </w:rPr>
      </w:pPr>
    </w:p>
    <w:p w:rsidR="00537783" w:rsidRDefault="009B62E3" w:rsidP="00537783">
      <w:pPr>
        <w:numPr>
          <w:ilvl w:val="0"/>
          <w:numId w:val="1"/>
        </w:numPr>
        <w:spacing w:after="160" w:line="360" w:lineRule="auto"/>
        <w:contextualSpacing/>
        <w:jc w:val="both"/>
        <w:rPr>
          <w:rFonts w:ascii="David" w:hAnsi="David"/>
          <w:lang w:eastAsia="he-IL"/>
        </w:rPr>
      </w:pPr>
      <w:r w:rsidRPr="00B947F0">
        <w:rPr>
          <w:rFonts w:ascii="David" w:hAnsi="David"/>
          <w:b/>
          <w:bCs/>
          <w:u w:val="single"/>
          <w:rtl/>
          <w:lang w:eastAsia="he-IL"/>
        </w:rPr>
        <w:t>מצבה הכלכלי של האם</w:t>
      </w:r>
      <w:r w:rsidR="00B947F0">
        <w:rPr>
          <w:rFonts w:ascii="David" w:hAnsi="David" w:hint="cs"/>
          <w:rtl/>
          <w:lang w:eastAsia="he-IL"/>
        </w:rPr>
        <w:t xml:space="preserve"> - </w:t>
      </w:r>
      <w:r w:rsidRPr="00B947F0">
        <w:rPr>
          <w:rFonts w:ascii="David" w:hAnsi="David"/>
          <w:rtl/>
          <w:lang w:eastAsia="he-IL"/>
        </w:rPr>
        <w:t>האם לא טענה כלל לשינוי בהכנסתה, או ירידה כלשהי שתביא להגדלת דמי המזונות.</w:t>
      </w:r>
    </w:p>
    <w:p w:rsidR="00537783" w:rsidRPr="00ED3117" w:rsidRDefault="00537783" w:rsidP="00537783">
      <w:pPr>
        <w:pStyle w:val="ad"/>
        <w:rPr>
          <w:b/>
          <w:bCs/>
          <w:u w:val="single"/>
          <w:rtl/>
          <w:lang w:eastAsia="he-IL"/>
        </w:rPr>
      </w:pPr>
    </w:p>
    <w:p w:rsidR="00537783" w:rsidRDefault="009B62E3" w:rsidP="00537783">
      <w:pPr>
        <w:numPr>
          <w:ilvl w:val="0"/>
          <w:numId w:val="1"/>
        </w:numPr>
        <w:spacing w:after="160" w:line="360" w:lineRule="auto"/>
        <w:contextualSpacing/>
        <w:jc w:val="both"/>
        <w:rPr>
          <w:rFonts w:ascii="David" w:hAnsi="David"/>
          <w:lang w:eastAsia="he-IL"/>
        </w:rPr>
      </w:pPr>
      <w:r w:rsidRPr="00537783">
        <w:rPr>
          <w:b/>
          <w:bCs/>
          <w:u w:val="single"/>
          <w:rtl/>
          <w:lang w:eastAsia="he-IL"/>
        </w:rPr>
        <w:t xml:space="preserve">שינויים בצורכי הקטין לצד שינויים בזמני השהות </w:t>
      </w:r>
      <w:r w:rsidR="00537783">
        <w:rPr>
          <w:rFonts w:ascii="David" w:hAnsi="David" w:hint="cs"/>
          <w:rtl/>
          <w:lang w:eastAsia="he-IL"/>
        </w:rPr>
        <w:t xml:space="preserve"> - </w:t>
      </w:r>
      <w:r w:rsidRPr="00537783">
        <w:rPr>
          <w:rFonts w:ascii="David" w:hAnsi="David"/>
          <w:rtl/>
          <w:lang w:eastAsia="he-IL"/>
        </w:rPr>
        <w:t>לא נטען לשינוי כלשהו בצורכי הקטינה, האם לא הוכיחה, ולו לכאורה, ובמידה הנדרשת לשלב מקדמי זה, כי האב מפר את זמני השהות, ברמה המחייבת דיון מחודש בסוגיית המזונות.  בפרט שהאם לא הגישה תביעה לאכיפת חלוקת זמני שהות ולא פעלה לקדם שינוי כלשהו.</w:t>
      </w:r>
    </w:p>
    <w:p w:rsidR="00537783" w:rsidRDefault="00537783" w:rsidP="00537783">
      <w:pPr>
        <w:pStyle w:val="ad"/>
        <w:rPr>
          <w:rFonts w:ascii="David" w:hAnsi="David"/>
          <w:b/>
          <w:bCs/>
          <w:u w:val="single"/>
          <w:rtl/>
          <w:lang w:eastAsia="he-IL"/>
        </w:rPr>
      </w:pPr>
    </w:p>
    <w:p w:rsidR="00537783" w:rsidRDefault="009B62E3" w:rsidP="00866B22">
      <w:pPr>
        <w:numPr>
          <w:ilvl w:val="0"/>
          <w:numId w:val="1"/>
        </w:numPr>
        <w:spacing w:after="160" w:line="360" w:lineRule="auto"/>
        <w:contextualSpacing/>
        <w:jc w:val="both"/>
        <w:rPr>
          <w:rFonts w:ascii="David" w:hAnsi="David"/>
          <w:lang w:eastAsia="he-IL"/>
        </w:rPr>
      </w:pPr>
      <w:r w:rsidRPr="00537783">
        <w:rPr>
          <w:rFonts w:ascii="David" w:hAnsi="David"/>
          <w:b/>
          <w:bCs/>
          <w:u w:val="single"/>
          <w:rtl/>
          <w:lang w:eastAsia="he-IL"/>
        </w:rPr>
        <w:t>חוסר תום לב</w:t>
      </w:r>
      <w:r w:rsidR="00537783">
        <w:rPr>
          <w:rFonts w:ascii="David" w:hAnsi="David" w:hint="cs"/>
          <w:rtl/>
          <w:lang w:eastAsia="he-IL"/>
        </w:rPr>
        <w:t xml:space="preserve"> </w:t>
      </w:r>
      <w:r w:rsidR="00537783">
        <w:rPr>
          <w:rFonts w:ascii="David" w:hAnsi="David"/>
          <w:rtl/>
          <w:lang w:eastAsia="he-IL"/>
        </w:rPr>
        <w:t>–</w:t>
      </w:r>
      <w:r w:rsidR="00537783">
        <w:rPr>
          <w:rFonts w:ascii="David" w:hAnsi="David" w:hint="cs"/>
          <w:rtl/>
          <w:lang w:eastAsia="he-IL"/>
        </w:rPr>
        <w:t xml:space="preserve"> לטעמי, </w:t>
      </w:r>
      <w:r w:rsidRPr="00537783">
        <w:rPr>
          <w:rFonts w:ascii="David" w:hAnsi="David"/>
          <w:rtl/>
          <w:lang w:eastAsia="he-IL"/>
        </w:rPr>
        <w:t xml:space="preserve">פנייתה של האם לבית המשפט לאחר פחות מחצי שנה ממועד מתן פסק הדין בבית המשפט המחוזי, נגועה בחוסר תום לב, בפרט שפסק דין בעמ"ש 58949-10-21 נתן תוקף להסכמות הצדדים לאחר קיומו של דיון ממושך.   </w:t>
      </w:r>
      <w:r w:rsidR="00ED3117">
        <w:rPr>
          <w:rFonts w:ascii="David" w:hAnsi="David" w:hint="cs"/>
          <w:rtl/>
          <w:lang w:eastAsia="he-IL"/>
        </w:rPr>
        <w:t>כפי שהובהר לצדדים, אין מדובר "במקצה שיפורים". בידי המשיבה היו די והותר הזדמנויות להביא טענותיה ולבררן ככל הדרוש, כפי שאף עשתה בפועל. ומשניתן פסק דין ונקבעו ממצאים, ואלו נבחנו בידי ערכאת הערעור, אין כל מקום להתיר כעת לפתוח את היריעה פעם נוספת ולהתחיל הדיון מחדש. זאת ועוד, אמנם אין זה הדיון שלפני, ואולם, יש לציין כי לפני ימים אח</w:t>
      </w:r>
      <w:r w:rsidR="00866B22">
        <w:rPr>
          <w:rFonts w:ascii="David" w:hAnsi="David" w:hint="cs"/>
          <w:rtl/>
          <w:lang w:eastAsia="he-IL"/>
        </w:rPr>
        <w:t xml:space="preserve">דים, הגישה המשיבה תביעה נוספת שעניינה זמני שהות, אמנם טרם הוגש כתב הגנה, וטענות הצדדים טרם התבררו, ואולם רואה אני טעם לפגם כי זמן כה קצר מאז ניתן פסק הדין, וכבר מזדרזים הצדדים ושמים פעמיהם לבית המשפט. אמנם דלתו של בית המשפט פתוחה, ואולם, על הצדדים להביא בחשבון את הנזק המשני אשר נגרם כתוצאה מעצם ניהול ההליך המשפטי, והוא הנזק הנגרם לילדיהם, ובפרט לבת הקטינה.   </w:t>
      </w:r>
      <w:r w:rsidR="00ED3117">
        <w:rPr>
          <w:rFonts w:ascii="David" w:hAnsi="David" w:hint="cs"/>
          <w:rtl/>
          <w:lang w:eastAsia="he-IL"/>
        </w:rPr>
        <w:t xml:space="preserve"> </w:t>
      </w:r>
    </w:p>
    <w:p w:rsidR="00537783" w:rsidRPr="00866B22" w:rsidRDefault="00537783" w:rsidP="00537783">
      <w:pPr>
        <w:pStyle w:val="ad"/>
        <w:rPr>
          <w:rFonts w:ascii="David" w:hAnsi="David"/>
          <w:rtl/>
          <w:lang w:eastAsia="he-IL"/>
        </w:rPr>
      </w:pPr>
    </w:p>
    <w:p w:rsidR="009B62E3" w:rsidRPr="00537783" w:rsidRDefault="00537783" w:rsidP="0085237C">
      <w:pPr>
        <w:numPr>
          <w:ilvl w:val="0"/>
          <w:numId w:val="1"/>
        </w:numPr>
        <w:spacing w:after="160" w:line="360" w:lineRule="auto"/>
        <w:contextualSpacing/>
        <w:jc w:val="both"/>
        <w:rPr>
          <w:rFonts w:ascii="David" w:hAnsi="David"/>
          <w:rtl/>
          <w:lang w:eastAsia="he-IL"/>
        </w:rPr>
      </w:pPr>
      <w:r>
        <w:rPr>
          <w:rFonts w:ascii="David" w:hAnsi="David" w:hint="cs"/>
          <w:rtl/>
          <w:lang w:eastAsia="he-IL"/>
        </w:rPr>
        <w:lastRenderedPageBreak/>
        <w:t>כפי שקבעתי במקרה אחר</w:t>
      </w:r>
      <w:r w:rsidR="00866B22">
        <w:rPr>
          <w:rFonts w:ascii="David" w:hAnsi="David" w:hint="cs"/>
          <w:rtl/>
          <w:lang w:eastAsia="he-IL"/>
        </w:rPr>
        <w:t xml:space="preserve"> [תלה"מ 13798-01-22, פורסם במאגרים]</w:t>
      </w:r>
      <w:r>
        <w:rPr>
          <w:rFonts w:ascii="David" w:hAnsi="David" w:hint="cs"/>
          <w:rtl/>
          <w:lang w:eastAsia="he-IL"/>
        </w:rPr>
        <w:t xml:space="preserve">,  </w:t>
      </w:r>
      <w:r w:rsidR="00866B22">
        <w:rPr>
          <w:rFonts w:ascii="David" w:hAnsi="David" w:hint="cs"/>
          <w:rtl/>
          <w:lang w:eastAsia="he-IL"/>
        </w:rPr>
        <w:t xml:space="preserve">אין כל ספק בליבי כי </w:t>
      </w:r>
      <w:r>
        <w:rPr>
          <w:rFonts w:ascii="David" w:hAnsi="David" w:hint="cs"/>
          <w:rtl/>
          <w:lang w:eastAsia="he-IL"/>
        </w:rPr>
        <w:t xml:space="preserve">טובתם של קטינים </w:t>
      </w:r>
      <w:r w:rsidR="00866B22">
        <w:rPr>
          <w:rFonts w:ascii="David" w:hAnsi="David" w:hint="cs"/>
          <w:rtl/>
          <w:lang w:eastAsia="he-IL"/>
        </w:rPr>
        <w:t xml:space="preserve">אינה </w:t>
      </w:r>
      <w:r>
        <w:rPr>
          <w:rFonts w:ascii="David" w:hAnsi="David" w:hint="cs"/>
          <w:rtl/>
          <w:lang w:eastAsia="he-IL"/>
        </w:rPr>
        <w:t>עולה בקנה אחד עם ניהול הליכים משפטיים בין הוריהם</w:t>
      </w:r>
      <w:r w:rsidR="00866B22">
        <w:rPr>
          <w:rFonts w:ascii="David" w:hAnsi="David" w:hint="cs"/>
          <w:rtl/>
          <w:lang w:eastAsia="he-IL"/>
        </w:rPr>
        <w:t xml:space="preserve">, והם אף ניזוקים מכך.   </w:t>
      </w:r>
      <w:r>
        <w:rPr>
          <w:rFonts w:ascii="David" w:hAnsi="David" w:hint="cs"/>
          <w:rtl/>
          <w:lang w:eastAsia="he-IL"/>
        </w:rPr>
        <w:t xml:space="preserve">עצם ניהול ההליך </w:t>
      </w:r>
      <w:r w:rsidR="00866B22">
        <w:rPr>
          <w:rFonts w:ascii="David" w:hAnsi="David" w:hint="cs"/>
          <w:rtl/>
          <w:lang w:eastAsia="he-IL"/>
        </w:rPr>
        <w:t xml:space="preserve">המשפטי </w:t>
      </w:r>
      <w:r>
        <w:rPr>
          <w:rFonts w:ascii="David" w:hAnsi="David" w:hint="cs"/>
          <w:rtl/>
          <w:lang w:eastAsia="he-IL"/>
        </w:rPr>
        <w:t>פוגע בהם וגורם להם לנזק</w:t>
      </w:r>
      <w:r w:rsidR="00866B22">
        <w:rPr>
          <w:rFonts w:ascii="David" w:hAnsi="David" w:hint="cs"/>
          <w:rtl/>
          <w:lang w:eastAsia="he-IL"/>
        </w:rPr>
        <w:t xml:space="preserve">, וזאת אף אם ההליך אינו נוגע בהם ישירות, ואף אם הם לכאורה אינם מעורבים בו כלל.  </w:t>
      </w:r>
      <w:r>
        <w:rPr>
          <w:rFonts w:ascii="David" w:hAnsi="David" w:hint="cs"/>
          <w:rtl/>
          <w:lang w:eastAsia="he-IL"/>
        </w:rPr>
        <w:t>ב</w:t>
      </w:r>
      <w:r w:rsidR="009B62E3" w:rsidRPr="00537783">
        <w:rPr>
          <w:rFonts w:ascii="David" w:hAnsi="David"/>
          <w:rtl/>
          <w:lang w:eastAsia="he-IL"/>
        </w:rPr>
        <w:t xml:space="preserve">מקרים בהם ההורים אינם </w:t>
      </w:r>
      <w:r>
        <w:rPr>
          <w:rFonts w:ascii="David" w:hAnsi="David" w:hint="cs"/>
          <w:rtl/>
          <w:lang w:eastAsia="he-IL"/>
        </w:rPr>
        <w:t xml:space="preserve">ערים ומתעלמים מנזק זה,  </w:t>
      </w:r>
      <w:r w:rsidR="0085237C">
        <w:rPr>
          <w:rFonts w:ascii="David" w:hAnsi="David" w:hint="cs"/>
          <w:rtl/>
          <w:lang w:eastAsia="he-IL"/>
        </w:rPr>
        <w:t xml:space="preserve">כמו במקרה זה, מוטל </w:t>
      </w:r>
      <w:r w:rsidR="009B62E3" w:rsidRPr="00537783">
        <w:rPr>
          <w:rFonts w:ascii="David" w:hAnsi="David"/>
          <w:rtl/>
          <w:lang w:eastAsia="he-IL"/>
        </w:rPr>
        <w:t xml:space="preserve">על בית המשפט, לבצע את האיזון הדרוש בין מידת הפגיעה לבין פוטנציאל ההטבה. </w:t>
      </w:r>
      <w:r>
        <w:rPr>
          <w:rFonts w:hint="cs"/>
          <w:rtl/>
          <w:lang w:eastAsia="he-IL"/>
        </w:rPr>
        <w:t xml:space="preserve"> </w:t>
      </w:r>
      <w:r w:rsidRPr="0085237C">
        <w:rPr>
          <w:rFonts w:hint="cs"/>
          <w:b/>
          <w:bCs/>
          <w:u w:val="single"/>
          <w:rtl/>
          <w:lang w:eastAsia="he-IL"/>
        </w:rPr>
        <w:t xml:space="preserve">מלים אחרות -  </w:t>
      </w:r>
      <w:r w:rsidR="009B62E3" w:rsidRPr="0085237C">
        <w:rPr>
          <w:b/>
          <w:bCs/>
          <w:u w:val="single"/>
          <w:rtl/>
          <w:lang w:eastAsia="he-IL"/>
        </w:rPr>
        <w:t>חובתו של בית המשפט, לוודא, בכל רגע נתון, כי להליך המתנהל לפניו, תכלית ראויה, תוך שבית המשפט מביא בחשבון את הפגיעה הנגרמת לקטינים כתוצאה מעצם קיום ההליך</w:t>
      </w:r>
      <w:r w:rsidR="009B62E3">
        <w:rPr>
          <w:rtl/>
          <w:lang w:eastAsia="he-IL"/>
        </w:rPr>
        <w:t>. טובתם של הקטינים לשקט ולשלווה, וזו אינה עולה בקנה אחד עם קיומם של הליכים משפטיים בין הוריהם.</w:t>
      </w:r>
      <w:r w:rsidR="0021778D">
        <w:rPr>
          <w:rFonts w:ascii="David" w:hAnsi="David" w:hint="cs"/>
          <w:rtl/>
          <w:lang w:eastAsia="he-IL"/>
        </w:rPr>
        <w:t xml:space="preserve">  במקרה זה, הגעתי למסקנה כי דין התביעה להדחות על הסף, גם מחמת העובדה כי עצם ניהולה אינו עולה בקנה אחד עם טובת הקטינה.</w:t>
      </w:r>
    </w:p>
    <w:p w:rsidR="009B62E3" w:rsidRDefault="009B62E3" w:rsidP="009B62E3">
      <w:pPr>
        <w:spacing w:line="360" w:lineRule="auto"/>
        <w:ind w:left="360"/>
        <w:jc w:val="both"/>
        <w:rPr>
          <w:rFonts w:ascii="David" w:hAnsi="David"/>
          <w:rtl/>
          <w:lang w:eastAsia="he-IL"/>
        </w:rPr>
      </w:pPr>
    </w:p>
    <w:p w:rsidR="009B62E3" w:rsidRDefault="009B62E3" w:rsidP="009B62E3">
      <w:pPr>
        <w:spacing w:line="360" w:lineRule="auto"/>
        <w:ind w:left="360"/>
        <w:jc w:val="both"/>
        <w:rPr>
          <w:rFonts w:ascii="David" w:hAnsi="David"/>
          <w:b/>
          <w:bCs/>
          <w:u w:val="single"/>
          <w:lang w:eastAsia="he-IL"/>
        </w:rPr>
      </w:pPr>
      <w:r>
        <w:rPr>
          <w:rFonts w:ascii="David" w:hAnsi="David"/>
          <w:b/>
          <w:bCs/>
          <w:u w:val="single"/>
          <w:rtl/>
          <w:lang w:eastAsia="he-IL"/>
        </w:rPr>
        <w:t>סוף דבר</w:t>
      </w:r>
    </w:p>
    <w:p w:rsidR="009B62E3" w:rsidRDefault="009B62E3" w:rsidP="009B62E3">
      <w:pPr>
        <w:spacing w:line="360" w:lineRule="auto"/>
        <w:ind w:left="360"/>
        <w:jc w:val="both"/>
        <w:rPr>
          <w:rFonts w:ascii="David" w:hAnsi="David"/>
          <w:b/>
          <w:bCs/>
          <w:u w:val="single"/>
          <w:rtl/>
          <w:lang w:eastAsia="he-IL"/>
        </w:rPr>
      </w:pPr>
    </w:p>
    <w:p w:rsidR="009B62E3" w:rsidRDefault="009B62E3" w:rsidP="009B62E3">
      <w:pPr>
        <w:numPr>
          <w:ilvl w:val="0"/>
          <w:numId w:val="1"/>
        </w:numPr>
        <w:spacing w:after="160" w:line="360" w:lineRule="auto"/>
        <w:contextualSpacing/>
        <w:rPr>
          <w:rFonts w:ascii="David" w:hAnsi="David"/>
          <w:rtl/>
          <w:lang w:eastAsia="he-IL"/>
        </w:rPr>
      </w:pPr>
      <w:r>
        <w:rPr>
          <w:rFonts w:ascii="David" w:hAnsi="David"/>
          <w:rtl/>
          <w:lang w:eastAsia="he-IL"/>
        </w:rPr>
        <w:t>אשר על כן, אני מקבל הבקשה ומורה על מחיקת התביעה</w:t>
      </w:r>
      <w:r>
        <w:rPr>
          <w:rFonts w:ascii="David" w:hAnsi="David"/>
          <w:lang w:eastAsia="he-IL"/>
        </w:rPr>
        <w:t>.</w:t>
      </w:r>
    </w:p>
    <w:p w:rsidR="009B62E3" w:rsidRDefault="009B62E3" w:rsidP="009B62E3">
      <w:pPr>
        <w:spacing w:line="360" w:lineRule="auto"/>
        <w:ind w:left="720"/>
        <w:contextualSpacing/>
        <w:rPr>
          <w:rFonts w:ascii="David" w:hAnsi="David"/>
          <w:rtl/>
          <w:lang w:eastAsia="he-IL"/>
        </w:rPr>
      </w:pPr>
      <w:r>
        <w:rPr>
          <w:rFonts w:ascii="David" w:hAnsi="David"/>
          <w:lang w:eastAsia="he-IL"/>
        </w:rPr>
        <w:t> </w:t>
      </w:r>
    </w:p>
    <w:p w:rsidR="009B62E3" w:rsidRDefault="009B62E3" w:rsidP="0085237C">
      <w:pPr>
        <w:numPr>
          <w:ilvl w:val="0"/>
          <w:numId w:val="1"/>
        </w:numPr>
        <w:spacing w:after="160" w:line="360" w:lineRule="auto"/>
        <w:contextualSpacing/>
        <w:rPr>
          <w:rFonts w:ascii="David" w:hAnsi="David"/>
          <w:lang w:eastAsia="he-IL"/>
        </w:rPr>
      </w:pPr>
      <w:r>
        <w:rPr>
          <w:rFonts w:ascii="David" w:hAnsi="David"/>
          <w:rtl/>
          <w:lang w:eastAsia="he-IL"/>
        </w:rPr>
        <w:t xml:space="preserve">האם תשא ותשלם לאב הוצאות הבקשה ושכ"ט עו"ד בסך של </w:t>
      </w:r>
      <w:r w:rsidR="0085237C">
        <w:rPr>
          <w:rFonts w:ascii="David" w:hAnsi="David" w:hint="cs"/>
          <w:rtl/>
          <w:lang w:eastAsia="he-IL"/>
        </w:rPr>
        <w:t>6</w:t>
      </w:r>
      <w:r w:rsidR="0021778D">
        <w:rPr>
          <w:rFonts w:ascii="David" w:hAnsi="David" w:hint="cs"/>
          <w:rtl/>
          <w:lang w:eastAsia="he-IL"/>
        </w:rPr>
        <w:t>,500</w:t>
      </w:r>
      <w:r>
        <w:rPr>
          <w:rFonts w:ascii="David" w:hAnsi="David"/>
          <w:rtl/>
          <w:lang w:eastAsia="he-IL"/>
        </w:rPr>
        <w:t xml:space="preserve"> ₪</w:t>
      </w:r>
      <w:r>
        <w:rPr>
          <w:rFonts w:ascii="David" w:hAnsi="David"/>
          <w:lang w:eastAsia="he-IL"/>
        </w:rPr>
        <w:t>.</w:t>
      </w:r>
    </w:p>
    <w:p w:rsidR="009B62E3" w:rsidRPr="0085237C" w:rsidRDefault="009B62E3" w:rsidP="009B62E3">
      <w:pPr>
        <w:spacing w:line="360" w:lineRule="auto"/>
        <w:ind w:left="720"/>
        <w:contextualSpacing/>
        <w:rPr>
          <w:rFonts w:ascii="David" w:hAnsi="David"/>
          <w:lang w:eastAsia="he-IL"/>
        </w:rPr>
      </w:pPr>
    </w:p>
    <w:p w:rsidR="009B62E3" w:rsidRDefault="009B62E3" w:rsidP="009B62E3">
      <w:pPr>
        <w:numPr>
          <w:ilvl w:val="0"/>
          <w:numId w:val="1"/>
        </w:numPr>
        <w:spacing w:after="160" w:line="360" w:lineRule="auto"/>
        <w:contextualSpacing/>
        <w:rPr>
          <w:rFonts w:ascii="David" w:hAnsi="David"/>
          <w:rtl/>
          <w:lang w:eastAsia="he-IL"/>
        </w:rPr>
      </w:pPr>
      <w:r>
        <w:rPr>
          <w:rFonts w:ascii="David" w:hAnsi="David"/>
          <w:rtl/>
          <w:lang w:eastAsia="he-IL"/>
        </w:rPr>
        <w:t>זכות ערעור לבית המשפט המחוזי בתוך 45 יום.</w:t>
      </w:r>
    </w:p>
    <w:p w:rsidR="009B62E3" w:rsidRDefault="009B62E3" w:rsidP="009B62E3">
      <w:pPr>
        <w:spacing w:line="360" w:lineRule="auto"/>
        <w:ind w:left="720"/>
        <w:contextualSpacing/>
        <w:rPr>
          <w:rFonts w:ascii="David" w:hAnsi="David"/>
          <w:lang w:eastAsia="he-IL"/>
        </w:rPr>
      </w:pPr>
      <w:r>
        <w:rPr>
          <w:rFonts w:ascii="David" w:hAnsi="David"/>
          <w:lang w:eastAsia="he-IL"/>
        </w:rPr>
        <w:t> </w:t>
      </w:r>
    </w:p>
    <w:p w:rsidR="009B62E3" w:rsidRDefault="009B62E3" w:rsidP="0021778D">
      <w:pPr>
        <w:spacing w:after="160" w:line="360" w:lineRule="auto"/>
        <w:contextualSpacing/>
        <w:jc w:val="both"/>
        <w:rPr>
          <w:rFonts w:ascii="David" w:hAnsi="David"/>
          <w:b/>
          <w:bCs/>
          <w:u w:val="single"/>
          <w:lang w:eastAsia="he-IL"/>
        </w:rPr>
      </w:pPr>
      <w:r>
        <w:rPr>
          <w:rFonts w:ascii="David" w:hAnsi="David"/>
          <w:b/>
          <w:bCs/>
          <w:u w:val="single"/>
          <w:rtl/>
          <w:lang w:eastAsia="he-IL"/>
        </w:rPr>
        <w:t>המזכירות תמציא את פסק הדין לצדדים ותסגור את התיק.</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כ"ט אדר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22 מרץ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D06D3" w:rsidP="0021778D">
      <w:pPr>
        <w:spacing w:line="360" w:lineRule="auto"/>
        <w:ind w:left="3600" w:firstLine="720"/>
        <w:jc w:val="right"/>
      </w:pPr>
      <w:sdt>
        <w:sdtPr>
          <w:rPr>
            <w:rtl/>
          </w:rPr>
          <w:alias w:val="MergeField"/>
          <w:tag w:val="1237"/>
          <w:id w:val="-36820417"/>
        </w:sdtPr>
        <w:sdtEndPr/>
        <w:sdtContent>
          <w:r w:rsidR="0000705A">
            <w:drawing>
              <wp:inline distT="0" distB="0" distL="0" distR="0" wp14:editId="50D07946">
                <wp:extent cx="168592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85925" cy="971550"/>
                        </a:xfrm>
                        <a:prstGeom prst="rect">
                          <a:avLst/>
                        </a:prstGeom>
                      </pic:spPr>
                    </pic:pic>
                  </a:graphicData>
                </a:graphic>
              </wp:inline>
            </w:drawing>
          </w:r>
        </w:sdtContent>
      </w:sdt>
    </w:p>
    <w:p w:rsidR="00694556" w:rsidRDefault="00694556" w:rsidP="0021778D">
      <w:pPr>
        <w:spacing w:line="360" w:lineRule="auto"/>
        <w:ind w:left="3600" w:firstLine="720"/>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6D3" w:rsidRDefault="00AD06D3">
      <w:r>
        <w:separator/>
      </w:r>
    </w:p>
  </w:endnote>
  <w:endnote w:type="continuationSeparator" w:id="0">
    <w:p w:rsidR="00AD06D3" w:rsidRDefault="00AD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F440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F440F">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6D3" w:rsidRDefault="00AD06D3">
      <w:r>
        <w:separator/>
      </w:r>
    </w:p>
  </w:footnote>
  <w:footnote w:type="continuationSeparator" w:id="0">
    <w:p w:rsidR="00AD06D3" w:rsidRDefault="00AD0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D06D3" w:rsidP="0000705A">
          <w:pPr>
            <w:rPr>
              <w:b/>
              <w:bCs/>
              <w:noProof w:val="0"/>
              <w:sz w:val="26"/>
              <w:szCs w:val="26"/>
              <w:rtl/>
            </w:rPr>
          </w:pPr>
          <w:sdt>
            <w:sdtPr>
              <w:rPr>
                <w:b/>
                <w:bCs/>
                <w:noProof w:val="0"/>
                <w:sz w:val="26"/>
                <w:szCs w:val="26"/>
                <w:rtl/>
              </w:rPr>
              <w:alias w:val="1170"/>
              <w:tag w:val="1170"/>
              <w:id w:val="299038016"/>
              <w:text w:multiLine="1"/>
            </w:sdtPr>
            <w:sdtEndPr/>
            <w:sdtContent>
              <w:r w:rsidR="00D855A1">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855A1">
                <w:rPr>
                  <w:b/>
                  <w:bCs/>
                  <w:noProof w:val="0"/>
                  <w:sz w:val="26"/>
                  <w:szCs w:val="26"/>
                  <w:rtl/>
                </w:rPr>
                <w:t>24861-04-22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00705A">
                <w:rPr>
                  <w:rFonts w:hint="cs"/>
                  <w:b/>
                  <w:bCs/>
                  <w:noProof w:val="0"/>
                  <w:sz w:val="26"/>
                  <w:szCs w:val="26"/>
                  <w:rtl/>
                </w:rPr>
                <w:t>אלמונית</w:t>
              </w:r>
              <w:r w:rsidR="0000705A">
                <w:rPr>
                  <w:b/>
                  <w:bCs/>
                  <w:noProof w:val="0"/>
                  <w:sz w:val="26"/>
                  <w:szCs w:val="26"/>
                  <w:rtl/>
                </w:rPr>
                <w:t xml:space="preserve"> נ' </w:t>
              </w:r>
              <w:r w:rsidR="0000705A">
                <w:rPr>
                  <w:rFonts w:hint="cs"/>
                  <w:b/>
                  <w:bCs/>
                  <w:noProof w:val="0"/>
                  <w:sz w:val="26"/>
                  <w:szCs w:val="26"/>
                  <w:rtl/>
                </w:rPr>
                <w:t>פלוני</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C31FF"/>
    <w:multiLevelType w:val="hybridMultilevel"/>
    <w:tmpl w:val="4CB89368"/>
    <w:lvl w:ilvl="0" w:tplc="49F24D96">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956D02"/>
    <w:multiLevelType w:val="hybridMultilevel"/>
    <w:tmpl w:val="42701D76"/>
    <w:lvl w:ilvl="0" w:tplc="EC26F054">
      <w:start w:val="1"/>
      <w:numFmt w:val="hebrew1"/>
      <w:lvlText w:val="%1."/>
      <w:lvlJc w:val="left"/>
      <w:pPr>
        <w:ind w:left="1069" w:hanging="360"/>
      </w:pPr>
      <w:rPr>
        <w:rFonts w:cs="Times New Roman"/>
      </w:rPr>
    </w:lvl>
    <w:lvl w:ilvl="1" w:tplc="04090019">
      <w:start w:val="1"/>
      <w:numFmt w:val="lowerLetter"/>
      <w:lvlText w:val="%2."/>
      <w:lvlJc w:val="left"/>
      <w:pPr>
        <w:ind w:left="1789" w:hanging="360"/>
      </w:pPr>
      <w:rPr>
        <w:rFonts w:cs="Times New Roman"/>
      </w:rPr>
    </w:lvl>
    <w:lvl w:ilvl="2" w:tplc="0409001B">
      <w:start w:val="1"/>
      <w:numFmt w:val="lowerRoman"/>
      <w:lvlText w:val="%3."/>
      <w:lvlJc w:val="right"/>
      <w:pPr>
        <w:ind w:left="2509" w:hanging="180"/>
      </w:pPr>
      <w:rPr>
        <w:rFonts w:cs="Times New Roman"/>
      </w:rPr>
    </w:lvl>
    <w:lvl w:ilvl="3" w:tplc="0409000F">
      <w:start w:val="1"/>
      <w:numFmt w:val="decimal"/>
      <w:lvlText w:val="%4."/>
      <w:lvlJc w:val="left"/>
      <w:pPr>
        <w:ind w:left="3229" w:hanging="360"/>
      </w:pPr>
      <w:rPr>
        <w:rFonts w:cs="Times New Roman"/>
      </w:rPr>
    </w:lvl>
    <w:lvl w:ilvl="4" w:tplc="04090019">
      <w:start w:val="1"/>
      <w:numFmt w:val="lowerLetter"/>
      <w:lvlText w:val="%5."/>
      <w:lvlJc w:val="left"/>
      <w:pPr>
        <w:ind w:left="3949" w:hanging="360"/>
      </w:pPr>
      <w:rPr>
        <w:rFonts w:cs="Times New Roman"/>
      </w:rPr>
    </w:lvl>
    <w:lvl w:ilvl="5" w:tplc="0409001B">
      <w:start w:val="1"/>
      <w:numFmt w:val="lowerRoman"/>
      <w:lvlText w:val="%6."/>
      <w:lvlJc w:val="right"/>
      <w:pPr>
        <w:ind w:left="4669" w:hanging="180"/>
      </w:pPr>
      <w:rPr>
        <w:rFonts w:cs="Times New Roman"/>
      </w:rPr>
    </w:lvl>
    <w:lvl w:ilvl="6" w:tplc="0409000F">
      <w:start w:val="1"/>
      <w:numFmt w:val="decimal"/>
      <w:lvlText w:val="%7."/>
      <w:lvlJc w:val="left"/>
      <w:pPr>
        <w:ind w:left="5389" w:hanging="360"/>
      </w:pPr>
      <w:rPr>
        <w:rFonts w:cs="Times New Roman"/>
      </w:rPr>
    </w:lvl>
    <w:lvl w:ilvl="7" w:tplc="04090019">
      <w:start w:val="1"/>
      <w:numFmt w:val="lowerLetter"/>
      <w:lvlText w:val="%8."/>
      <w:lvlJc w:val="left"/>
      <w:pPr>
        <w:ind w:left="6109" w:hanging="360"/>
      </w:pPr>
      <w:rPr>
        <w:rFonts w:cs="Times New Roman"/>
      </w:rPr>
    </w:lvl>
    <w:lvl w:ilvl="8" w:tplc="0409001B">
      <w:start w:val="1"/>
      <w:numFmt w:val="lowerRoman"/>
      <w:lvlText w:val="%9."/>
      <w:lvlJc w:val="right"/>
      <w:pPr>
        <w:ind w:left="6829"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0705A"/>
    <w:rsid w:val="000146C2"/>
    <w:rsid w:val="00016C35"/>
    <w:rsid w:val="000258FD"/>
    <w:rsid w:val="000564AB"/>
    <w:rsid w:val="000A767C"/>
    <w:rsid w:val="000B1FB1"/>
    <w:rsid w:val="000C2B9B"/>
    <w:rsid w:val="000C7CC5"/>
    <w:rsid w:val="000D4A02"/>
    <w:rsid w:val="001072A9"/>
    <w:rsid w:val="00121F97"/>
    <w:rsid w:val="001277D7"/>
    <w:rsid w:val="00132017"/>
    <w:rsid w:val="0014234E"/>
    <w:rsid w:val="00145A87"/>
    <w:rsid w:val="001C4003"/>
    <w:rsid w:val="001F5474"/>
    <w:rsid w:val="0021778D"/>
    <w:rsid w:val="002352F7"/>
    <w:rsid w:val="0027277D"/>
    <w:rsid w:val="00283818"/>
    <w:rsid w:val="0029461E"/>
    <w:rsid w:val="00381D3A"/>
    <w:rsid w:val="003823DA"/>
    <w:rsid w:val="00410C8C"/>
    <w:rsid w:val="0043595F"/>
    <w:rsid w:val="0047645A"/>
    <w:rsid w:val="004D49A3"/>
    <w:rsid w:val="004D50AC"/>
    <w:rsid w:val="004E6E3C"/>
    <w:rsid w:val="004F5E89"/>
    <w:rsid w:val="005124F1"/>
    <w:rsid w:val="00530BAD"/>
    <w:rsid w:val="00537783"/>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6736C"/>
    <w:rsid w:val="007A24FE"/>
    <w:rsid w:val="007A35AA"/>
    <w:rsid w:val="007F1048"/>
    <w:rsid w:val="007F4E83"/>
    <w:rsid w:val="00820005"/>
    <w:rsid w:val="00831618"/>
    <w:rsid w:val="00846D27"/>
    <w:rsid w:val="0085237C"/>
    <w:rsid w:val="008610A7"/>
    <w:rsid w:val="00865E6C"/>
    <w:rsid w:val="00866B22"/>
    <w:rsid w:val="008E1332"/>
    <w:rsid w:val="00903896"/>
    <w:rsid w:val="00927813"/>
    <w:rsid w:val="00944D13"/>
    <w:rsid w:val="00957C90"/>
    <w:rsid w:val="009B62E3"/>
    <w:rsid w:val="009B70F6"/>
    <w:rsid w:val="009C358E"/>
    <w:rsid w:val="009E0263"/>
    <w:rsid w:val="00A267CF"/>
    <w:rsid w:val="00A43458"/>
    <w:rsid w:val="00AC4E19"/>
    <w:rsid w:val="00AD06D3"/>
    <w:rsid w:val="00AF1ED6"/>
    <w:rsid w:val="00B32C61"/>
    <w:rsid w:val="00B368FE"/>
    <w:rsid w:val="00B80CBD"/>
    <w:rsid w:val="00B947F0"/>
    <w:rsid w:val="00BA2FBA"/>
    <w:rsid w:val="00BC3369"/>
    <w:rsid w:val="00BF77EE"/>
    <w:rsid w:val="00C32E0F"/>
    <w:rsid w:val="00C42BF9"/>
    <w:rsid w:val="00C83E56"/>
    <w:rsid w:val="00CC63CE"/>
    <w:rsid w:val="00D319B3"/>
    <w:rsid w:val="00D36A71"/>
    <w:rsid w:val="00D53924"/>
    <w:rsid w:val="00D60849"/>
    <w:rsid w:val="00D855A1"/>
    <w:rsid w:val="00D96D8C"/>
    <w:rsid w:val="00DA755B"/>
    <w:rsid w:val="00DD337E"/>
    <w:rsid w:val="00E00B6F"/>
    <w:rsid w:val="00E44DDF"/>
    <w:rsid w:val="00E54642"/>
    <w:rsid w:val="00E97908"/>
    <w:rsid w:val="00ED3117"/>
    <w:rsid w:val="00EF3ED0"/>
    <w:rsid w:val="00F17E56"/>
    <w:rsid w:val="00F5326E"/>
    <w:rsid w:val="00F657D4"/>
    <w:rsid w:val="00FF440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4F5E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9231">
      <w:bodyDiv w:val="1"/>
      <w:marLeft w:val="0"/>
      <w:marRight w:val="0"/>
      <w:marTop w:val="0"/>
      <w:marBottom w:val="0"/>
      <w:divBdr>
        <w:top w:val="none" w:sz="0" w:space="0" w:color="auto"/>
        <w:left w:val="none" w:sz="0" w:space="0" w:color="auto"/>
        <w:bottom w:val="none" w:sz="0" w:space="0" w:color="auto"/>
        <w:right w:val="none" w:sz="0" w:space="0" w:color="auto"/>
      </w:divBdr>
    </w:div>
    <w:div w:id="69474190">
      <w:bodyDiv w:val="1"/>
      <w:marLeft w:val="0"/>
      <w:marRight w:val="0"/>
      <w:marTop w:val="0"/>
      <w:marBottom w:val="0"/>
      <w:divBdr>
        <w:top w:val="none" w:sz="0" w:space="0" w:color="auto"/>
        <w:left w:val="none" w:sz="0" w:space="0" w:color="auto"/>
        <w:bottom w:val="none" w:sz="0" w:space="0" w:color="auto"/>
        <w:right w:val="none" w:sz="0" w:space="0" w:color="auto"/>
      </w:divBdr>
    </w:div>
    <w:div w:id="302464750">
      <w:bodyDiv w:val="1"/>
      <w:marLeft w:val="0"/>
      <w:marRight w:val="0"/>
      <w:marTop w:val="0"/>
      <w:marBottom w:val="0"/>
      <w:divBdr>
        <w:top w:val="none" w:sz="0" w:space="0" w:color="auto"/>
        <w:left w:val="none" w:sz="0" w:space="0" w:color="auto"/>
        <w:bottom w:val="none" w:sz="0" w:space="0" w:color="auto"/>
        <w:right w:val="none" w:sz="0" w:space="0" w:color="auto"/>
      </w:divBdr>
    </w:div>
    <w:div w:id="405305796">
      <w:bodyDiv w:val="1"/>
      <w:marLeft w:val="0"/>
      <w:marRight w:val="0"/>
      <w:marTop w:val="0"/>
      <w:marBottom w:val="0"/>
      <w:divBdr>
        <w:top w:val="none" w:sz="0" w:space="0" w:color="auto"/>
        <w:left w:val="none" w:sz="0" w:space="0" w:color="auto"/>
        <w:bottom w:val="none" w:sz="0" w:space="0" w:color="auto"/>
        <w:right w:val="none" w:sz="0" w:space="0" w:color="auto"/>
      </w:divBdr>
    </w:div>
    <w:div w:id="65113237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013780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4155099">
      <w:bodyDiv w:val="1"/>
      <w:marLeft w:val="0"/>
      <w:marRight w:val="0"/>
      <w:marTop w:val="0"/>
      <w:marBottom w:val="0"/>
      <w:divBdr>
        <w:top w:val="none" w:sz="0" w:space="0" w:color="auto"/>
        <w:left w:val="none" w:sz="0" w:space="0" w:color="auto"/>
        <w:bottom w:val="none" w:sz="0" w:space="0" w:color="auto"/>
        <w:right w:val="none" w:sz="0" w:space="0" w:color="auto"/>
      </w:divBdr>
    </w:div>
    <w:div w:id="160708007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771945" w:rsidP="00771945">
          <w:pPr>
            <w:pStyle w:val="D650C3ADC6E34C929EE3D2B6C6EAD8DA4"/>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771945" w:rsidP="00771945">
          <w:pPr>
            <w:pStyle w:val="188595C706B84060A65FC27D8AEC282C4"/>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631541"/>
    <w:rsid w:val="00771945"/>
    <w:rsid w:val="00843FCB"/>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71945"/>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77194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697D7-2D9C-4E88-8B89-ECD4671B0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1912</Words>
  <Characters>9563</Characters>
  <Application>Microsoft Office Word</Application>
  <DocSecurity>0</DocSecurity>
  <Lines>79</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2024-07-22T07:17:00Z</dcterms:created>
  <dcterms:modified xsi:type="dcterms:W3CDTF">2024-07-22T07:17:00Z</dcterms:modified>
</cp:coreProperties>
</file>